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C5" w:rsidRPr="001A6C95" w:rsidRDefault="00700AC5" w:rsidP="00A63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6C9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38150" cy="6572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AC5" w:rsidRPr="001A6C95" w:rsidRDefault="00700AC5" w:rsidP="00A63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00AC5" w:rsidRPr="001A6C95" w:rsidRDefault="00700AC5" w:rsidP="00A63F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700AC5" w:rsidRPr="001A6C95" w:rsidRDefault="00700AC5" w:rsidP="00A63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700AC5" w:rsidRPr="001A6C95" w:rsidRDefault="00700AC5" w:rsidP="00A63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700AC5" w:rsidRPr="001A6C95" w:rsidRDefault="00700AC5" w:rsidP="00A63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</w:t>
      </w:r>
      <w:bookmarkStart w:id="0" w:name="_GoBack"/>
      <w:bookmarkEnd w:id="0"/>
      <w:r w:rsidRPr="001A6C95">
        <w:rPr>
          <w:rFonts w:ascii="Times New Roman" w:eastAsia="Times New Roman" w:hAnsi="Times New Roman" w:cs="Times New Roman"/>
          <w:b/>
          <w:bCs/>
          <w:sz w:val="28"/>
          <w:szCs w:val="28"/>
        </w:rPr>
        <w:t>СТИ</w:t>
      </w:r>
    </w:p>
    <w:p w:rsidR="00A06A0A" w:rsidRDefault="00A06A0A" w:rsidP="00A63F6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A06A0A" w:rsidRPr="00A06A0A" w:rsidRDefault="00A06A0A" w:rsidP="00A06A0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A0A">
        <w:rPr>
          <w:rFonts w:ascii="Times New Roman" w:eastAsia="Times New Roman" w:hAnsi="Times New Roman" w:cs="Times New Roman"/>
          <w:b/>
          <w:sz w:val="28"/>
          <w:szCs w:val="28"/>
        </w:rPr>
        <w:t xml:space="preserve">34 заседание              </w:t>
      </w:r>
      <w:r w:rsidRPr="00A06A0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06A0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</w:t>
      </w:r>
      <w:r w:rsidRPr="00A06A0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A06A0A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</w:t>
      </w:r>
    </w:p>
    <w:p w:rsidR="00A06A0A" w:rsidRPr="00A06A0A" w:rsidRDefault="00A06A0A" w:rsidP="00A06A0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A0A">
        <w:rPr>
          <w:rFonts w:ascii="Times New Roman" w:eastAsia="Times New Roman" w:hAnsi="Times New Roman" w:cs="Times New Roman"/>
          <w:b/>
          <w:sz w:val="28"/>
          <w:szCs w:val="28"/>
        </w:rPr>
        <w:t>05.04.2023</w:t>
      </w:r>
      <w:r w:rsidRPr="00A06A0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06A0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A06A0A" w:rsidRDefault="00A06A0A" w:rsidP="00A63F6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00AC5" w:rsidRPr="001A6C95" w:rsidRDefault="00700AC5" w:rsidP="00A63F6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A06A0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247</w:t>
      </w:r>
    </w:p>
    <w:p w:rsidR="00700AC5" w:rsidRPr="001A6C95" w:rsidRDefault="00700AC5" w:rsidP="00A63F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6062"/>
      </w:tblGrid>
      <w:tr w:rsidR="00700AC5" w:rsidRPr="001A6C95" w:rsidTr="008C37EC">
        <w:trPr>
          <w:trHeight w:val="1102"/>
        </w:trPr>
        <w:tc>
          <w:tcPr>
            <w:tcW w:w="6062" w:type="dxa"/>
          </w:tcPr>
          <w:p w:rsidR="00700AC5" w:rsidRPr="001A6C95" w:rsidRDefault="009F3C33" w:rsidP="00A63F6A">
            <w:pPr>
              <w:tabs>
                <w:tab w:val="center" w:pos="4775"/>
                <w:tab w:val="right" w:pos="95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отчете о деятельности Контрольно-счетной палаты муниципального образования </w:t>
            </w:r>
            <w:proofErr w:type="spellStart"/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Соль-Илецкий</w:t>
            </w:r>
            <w:proofErr w:type="spellEnd"/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городской округ Оренбургской области в 202</w:t>
            </w:r>
            <w:r w:rsidR="00F477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году</w:t>
            </w:r>
            <w:r w:rsidRPr="001A6C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264CA" w:rsidRPr="001A6C95" w:rsidRDefault="00A264CA" w:rsidP="00A63F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AC5" w:rsidRPr="001A6C95" w:rsidRDefault="00700AC5" w:rsidP="00A63F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отчет председателя Контрольно-счетной палаты, </w:t>
      </w:r>
      <w:proofErr w:type="spellStart"/>
      <w:r w:rsidRPr="001A6C95">
        <w:rPr>
          <w:rFonts w:ascii="Times New Roman" w:eastAsia="Times New Roman" w:hAnsi="Times New Roman" w:cs="Times New Roman"/>
          <w:sz w:val="28"/>
          <w:szCs w:val="28"/>
        </w:rPr>
        <w:t>Гайворонской</w:t>
      </w:r>
      <w:proofErr w:type="spellEnd"/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 М.Н</w:t>
      </w:r>
      <w:r w:rsidR="00231842" w:rsidRPr="001A6C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8C37EC" w:rsidRPr="001A6C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1842" w:rsidRPr="001A6C95">
        <w:rPr>
          <w:rFonts w:ascii="Times New Roman" w:hAnsi="Times New Roman" w:cs="Times New Roman"/>
          <w:bCs/>
          <w:sz w:val="28"/>
          <w:szCs w:val="28"/>
        </w:rPr>
        <w:t xml:space="preserve">о деятельности Контрольно-счетной палаты муниципального образования </w:t>
      </w:r>
      <w:proofErr w:type="spellStart"/>
      <w:r w:rsidR="00231842" w:rsidRPr="001A6C95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="00231842" w:rsidRPr="001A6C95">
        <w:rPr>
          <w:rFonts w:ascii="Times New Roman" w:hAnsi="Times New Roman" w:cs="Times New Roman"/>
          <w:bCs/>
          <w:sz w:val="28"/>
          <w:szCs w:val="28"/>
        </w:rPr>
        <w:t xml:space="preserve"> городской округ Оренбургской области в 202</w:t>
      </w:r>
      <w:r w:rsidR="00446199" w:rsidRPr="001A6C95">
        <w:rPr>
          <w:rFonts w:ascii="Times New Roman" w:hAnsi="Times New Roman" w:cs="Times New Roman"/>
          <w:bCs/>
          <w:sz w:val="28"/>
          <w:szCs w:val="28"/>
        </w:rPr>
        <w:t>2</w:t>
      </w:r>
      <w:r w:rsidR="00231842" w:rsidRPr="001A6C95"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="00231842" w:rsidRPr="001A6C9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A6C95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 статьи 19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 пунктом 2 статьи 20 «Положения о Контрольно-счетной палате муниципального образования</w:t>
      </w:r>
      <w:proofErr w:type="gramEnd"/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6C95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области», утвержденного решением Совета депутатов от </w:t>
      </w:r>
      <w:r w:rsidR="00EB0D44" w:rsidRPr="001A6C95">
        <w:rPr>
          <w:rFonts w:ascii="Times New Roman" w:eastAsia="Times New Roman" w:hAnsi="Times New Roman" w:cs="Times New Roman"/>
          <w:bCs/>
          <w:color w:val="272727"/>
          <w:sz w:val="28"/>
          <w:szCs w:val="28"/>
        </w:rPr>
        <w:t>29.09.2021</w:t>
      </w:r>
      <w:r w:rsidR="00EB0D44" w:rsidRPr="001A6C95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  <w:t xml:space="preserve">  </w:t>
      </w: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B0D44" w:rsidRPr="001A6C95">
        <w:rPr>
          <w:rFonts w:ascii="Times New Roman" w:eastAsia="Times New Roman" w:hAnsi="Times New Roman" w:cs="Times New Roman"/>
          <w:sz w:val="28"/>
          <w:szCs w:val="28"/>
        </w:rPr>
        <w:t>113</w:t>
      </w:r>
      <w:r w:rsidRPr="001A6C95"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</w:p>
    <w:p w:rsidR="00700AC5" w:rsidRPr="001A6C95" w:rsidRDefault="00700AC5" w:rsidP="00A63F6A">
      <w:pPr>
        <w:tabs>
          <w:tab w:val="center" w:pos="4775"/>
          <w:tab w:val="right" w:pos="9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>1.</w:t>
      </w:r>
      <w:r w:rsidR="002E7081" w:rsidRPr="001A6C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3C33" w:rsidRPr="001A6C95">
        <w:rPr>
          <w:rFonts w:ascii="Times New Roman" w:hAnsi="Times New Roman" w:cs="Times New Roman"/>
          <w:bCs/>
          <w:sz w:val="28"/>
          <w:szCs w:val="28"/>
        </w:rPr>
        <w:t xml:space="preserve">Отчет о деятельности Контрольно-счетной палаты муниципального образования </w:t>
      </w:r>
      <w:proofErr w:type="spellStart"/>
      <w:r w:rsidR="009F3C33" w:rsidRPr="001A6C95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="009F3C33" w:rsidRPr="001A6C95">
        <w:rPr>
          <w:rFonts w:ascii="Times New Roman" w:hAnsi="Times New Roman" w:cs="Times New Roman"/>
          <w:bCs/>
          <w:sz w:val="28"/>
          <w:szCs w:val="28"/>
        </w:rPr>
        <w:t xml:space="preserve"> городской округ Оренбургской области в 20</w:t>
      </w:r>
      <w:r w:rsidR="00EB0D44" w:rsidRPr="001A6C95">
        <w:rPr>
          <w:rFonts w:ascii="Times New Roman" w:hAnsi="Times New Roman" w:cs="Times New Roman"/>
          <w:bCs/>
          <w:sz w:val="28"/>
          <w:szCs w:val="28"/>
        </w:rPr>
        <w:t>2</w:t>
      </w:r>
      <w:r w:rsidR="00446199" w:rsidRPr="001A6C95">
        <w:rPr>
          <w:rFonts w:ascii="Times New Roman" w:hAnsi="Times New Roman" w:cs="Times New Roman"/>
          <w:bCs/>
          <w:sz w:val="28"/>
          <w:szCs w:val="28"/>
        </w:rPr>
        <w:t>2</w:t>
      </w:r>
      <w:r w:rsidR="009F3C33" w:rsidRPr="001A6C95"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="009F3C33" w:rsidRPr="001A6C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принять к сведению согласно приложению. </w:t>
      </w:r>
    </w:p>
    <w:p w:rsidR="00700AC5" w:rsidRPr="001A6C95" w:rsidRDefault="00700AC5" w:rsidP="00A63F6A">
      <w:pPr>
        <w:pStyle w:val="a3"/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>2. Установить, что настоящее р</w:t>
      </w:r>
      <w:r w:rsidRPr="001A6C95">
        <w:rPr>
          <w:rFonts w:ascii="Times New Roman" w:eastAsia="Times New Roman" w:hAnsi="Times New Roman" w:cs="Times New Roman"/>
          <w:spacing w:val="14"/>
          <w:sz w:val="28"/>
          <w:szCs w:val="28"/>
        </w:rPr>
        <w:t>ешение вступает в силу со дня принятия</w:t>
      </w:r>
      <w:r w:rsidRPr="001A6C95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700AC5" w:rsidRPr="001A6C95" w:rsidRDefault="00700AC5" w:rsidP="00A63F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0AC5" w:rsidRPr="001A6C95" w:rsidRDefault="00700AC5" w:rsidP="00A63F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700AC5" w:rsidRPr="001A6C95" w:rsidRDefault="00700AC5" w:rsidP="00A63F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A69D7" w:rsidRPr="001A6C95" w:rsidRDefault="00700AC5" w:rsidP="00A63F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A6C95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Н.</w:t>
      </w:r>
      <w:r w:rsidR="001A69D7" w:rsidRPr="001A6C95">
        <w:rPr>
          <w:rFonts w:ascii="Times New Roman" w:eastAsia="Times New Roman" w:hAnsi="Times New Roman" w:cs="Times New Roman"/>
          <w:sz w:val="28"/>
          <w:szCs w:val="28"/>
        </w:rPr>
        <w:t>А.Кузьмин</w:t>
      </w:r>
    </w:p>
    <w:p w:rsidR="001A69D7" w:rsidRPr="001A6C95" w:rsidRDefault="001A69D7" w:rsidP="00A63F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37EC" w:rsidRPr="001A6C95" w:rsidRDefault="008C37EC" w:rsidP="00A63F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00AC5" w:rsidRPr="00A06A0A" w:rsidRDefault="00700AC5" w:rsidP="00A63F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06A0A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A06A0A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A06A0A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</w:t>
      </w:r>
      <w:r w:rsidR="00222DD9" w:rsidRPr="00A06A0A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A06A0A">
        <w:rPr>
          <w:rFonts w:ascii="Times New Roman" w:eastAsia="Times New Roman" w:hAnsi="Times New Roman" w:cs="Times New Roman"/>
          <w:sz w:val="24"/>
          <w:szCs w:val="24"/>
        </w:rPr>
        <w:t xml:space="preserve"> экз., Контрольно-счетная палата </w:t>
      </w:r>
      <w:proofErr w:type="spellStart"/>
      <w:r w:rsidRPr="00A06A0A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A06A0A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 администрация </w:t>
      </w:r>
      <w:proofErr w:type="spellStart"/>
      <w:r w:rsidRPr="00A06A0A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A06A0A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A06A0A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A06A0A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A06A0A" w:rsidRDefault="00A06A0A" w:rsidP="00A63F6A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14"/>
          <w:sz w:val="28"/>
          <w:szCs w:val="28"/>
          <w:lang w:eastAsia="en-US"/>
        </w:rPr>
      </w:pPr>
    </w:p>
    <w:p w:rsidR="002E7081" w:rsidRPr="001A6C95" w:rsidRDefault="002E7081" w:rsidP="00A06A0A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6C95">
        <w:rPr>
          <w:rFonts w:ascii="Times New Roman" w:eastAsia="Calibri" w:hAnsi="Times New Roman" w:cs="Times New Roman"/>
          <w:color w:val="000000"/>
          <w:spacing w:val="-14"/>
          <w:sz w:val="28"/>
          <w:szCs w:val="28"/>
          <w:lang w:eastAsia="en-US"/>
        </w:rPr>
        <w:lastRenderedPageBreak/>
        <w:t>Приложение</w:t>
      </w:r>
    </w:p>
    <w:p w:rsidR="002E7081" w:rsidRPr="001A6C95" w:rsidRDefault="002E7081" w:rsidP="00A06A0A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1A6C95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к решению Совета депутатов </w:t>
      </w:r>
    </w:p>
    <w:p w:rsidR="002E7081" w:rsidRPr="001A6C95" w:rsidRDefault="002E7081" w:rsidP="00A06A0A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1A6C95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2E7081" w:rsidRPr="001A6C95" w:rsidRDefault="002E7081" w:rsidP="00A06A0A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proofErr w:type="spellStart"/>
      <w:r w:rsidRPr="001A6C95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1A6C95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2E7081" w:rsidRPr="001A6C95" w:rsidRDefault="002E7081" w:rsidP="00A06A0A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</w:pPr>
      <w:r w:rsidRPr="001A6C95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от </w:t>
      </w:r>
      <w:r w:rsidR="00A06A0A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05.04.</w:t>
      </w:r>
      <w:r w:rsidR="00222DD9" w:rsidRPr="001A6C95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202</w:t>
      </w:r>
      <w:r w:rsidR="00446199" w:rsidRPr="001A6C95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3  №</w:t>
      </w:r>
      <w:r w:rsidR="00A06A0A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 247</w:t>
      </w:r>
    </w:p>
    <w:p w:rsidR="002E7081" w:rsidRPr="001A6C95" w:rsidRDefault="002E7081" w:rsidP="00A63F6A">
      <w:pPr>
        <w:shd w:val="clear" w:color="auto" w:fill="FFFFFF"/>
        <w:tabs>
          <w:tab w:val="left" w:pos="5812"/>
          <w:tab w:val="left" w:pos="6663"/>
        </w:tabs>
        <w:spacing w:after="0" w:line="240" w:lineRule="auto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</w:pPr>
    </w:p>
    <w:p w:rsidR="00EB0D44" w:rsidRPr="001A6C95" w:rsidRDefault="00EB0D44" w:rsidP="00A63F6A">
      <w:pPr>
        <w:tabs>
          <w:tab w:val="center" w:pos="4775"/>
          <w:tab w:val="right" w:pos="955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6C95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F4771C" w:rsidRDefault="00EB0D44" w:rsidP="00A63F6A">
      <w:pPr>
        <w:tabs>
          <w:tab w:val="center" w:pos="4775"/>
          <w:tab w:val="right" w:pos="955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6C95">
        <w:rPr>
          <w:rFonts w:ascii="Times New Roman" w:hAnsi="Times New Roman" w:cs="Times New Roman"/>
          <w:b/>
          <w:bCs/>
          <w:sz w:val="28"/>
          <w:szCs w:val="28"/>
        </w:rPr>
        <w:t xml:space="preserve">о деятельности Контрольно-счетной палаты муниципального образования </w:t>
      </w:r>
      <w:proofErr w:type="spellStart"/>
      <w:r w:rsidRPr="001A6C95">
        <w:rPr>
          <w:rFonts w:ascii="Times New Roman" w:hAnsi="Times New Roman" w:cs="Times New Roman"/>
          <w:b/>
          <w:bCs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городской округ Оренбургской области </w:t>
      </w:r>
    </w:p>
    <w:p w:rsidR="00EB0D44" w:rsidRPr="001A6C95" w:rsidRDefault="00EB0D44" w:rsidP="00A63F6A">
      <w:pPr>
        <w:tabs>
          <w:tab w:val="center" w:pos="4775"/>
          <w:tab w:val="right" w:pos="955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6C95">
        <w:rPr>
          <w:rFonts w:ascii="Times New Roman" w:hAnsi="Times New Roman" w:cs="Times New Roman"/>
          <w:b/>
          <w:bCs/>
          <w:sz w:val="28"/>
          <w:szCs w:val="28"/>
        </w:rPr>
        <w:t>в 202</w:t>
      </w:r>
      <w:r w:rsidR="00446199" w:rsidRPr="001A6C9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A6C95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E95958" w:rsidRPr="001A6C95" w:rsidRDefault="00E95958" w:rsidP="00A63F6A">
      <w:pPr>
        <w:tabs>
          <w:tab w:val="center" w:pos="4775"/>
          <w:tab w:val="right" w:pos="955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0D44" w:rsidRPr="001A6C95" w:rsidRDefault="00EB0D44" w:rsidP="00A63F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6604" w:rsidRPr="001A6C95" w:rsidRDefault="00166604" w:rsidP="00A63F6A">
      <w:pPr>
        <w:widowControl w:val="0"/>
        <w:spacing w:line="240" w:lineRule="auto"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1A6C95">
        <w:rPr>
          <w:rFonts w:ascii="Times New Roman" w:eastAsia="Batang" w:hAnsi="Times New Roman" w:cs="Times New Roman"/>
          <w:sz w:val="28"/>
          <w:szCs w:val="28"/>
        </w:rPr>
        <w:t xml:space="preserve">(отчет утвержден  распоряжением Контрольно-счетной палаты муниципального образования </w:t>
      </w:r>
      <w:proofErr w:type="spellStart"/>
      <w:r w:rsidRPr="001A6C95">
        <w:rPr>
          <w:rFonts w:ascii="Times New Roman" w:eastAsia="Batang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eastAsia="Batang" w:hAnsi="Times New Roman" w:cs="Times New Roman"/>
          <w:sz w:val="28"/>
          <w:szCs w:val="28"/>
        </w:rPr>
        <w:t xml:space="preserve"> городской округ Оренбургской области от  02.02.2023 № 4-р)</w:t>
      </w:r>
    </w:p>
    <w:p w:rsidR="00166604" w:rsidRPr="001A6C95" w:rsidRDefault="00166604" w:rsidP="00A63F6A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6604" w:rsidRPr="001A6C95" w:rsidRDefault="00166604" w:rsidP="00A63F6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 xml:space="preserve">1. Общие итоги работы Контрольно-счетной палаты </w:t>
      </w:r>
      <w:proofErr w:type="spellStart"/>
      <w:r w:rsidRPr="001A6C95">
        <w:rPr>
          <w:rFonts w:ascii="Times New Roman" w:hAnsi="Times New Roman" w:cs="Times New Roman"/>
          <w:b/>
          <w:sz w:val="28"/>
          <w:szCs w:val="28"/>
        </w:rPr>
        <w:t>Соль-Илецкого</w:t>
      </w:r>
      <w:proofErr w:type="spellEnd"/>
      <w:r w:rsidRPr="001A6C95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</w:p>
    <w:p w:rsidR="00166604" w:rsidRPr="001A6C95" w:rsidRDefault="00166604" w:rsidP="00A63F6A">
      <w:pPr>
        <w:widowControl w:val="0"/>
        <w:spacing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1A6C95">
        <w:rPr>
          <w:rFonts w:ascii="Times New Roman" w:eastAsia="Calibri" w:hAnsi="Times New Roman" w:cs="Times New Roman"/>
          <w:sz w:val="28"/>
          <w:szCs w:val="28"/>
        </w:rPr>
        <w:t xml:space="preserve">Правовые основы образования и функционирования Контрольно-счетной палаты муниципального образования </w:t>
      </w:r>
      <w:proofErr w:type="spellStart"/>
      <w:r w:rsidRPr="001A6C95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eastAsia="Calibri" w:hAnsi="Times New Roman" w:cs="Times New Roman"/>
          <w:sz w:val="28"/>
          <w:szCs w:val="28"/>
        </w:rPr>
        <w:t xml:space="preserve"> городской округ Оренбургской области (далее - Контрольно-счетная палата)  установлены статьей 31 Устава муниципального образования </w:t>
      </w:r>
      <w:proofErr w:type="spellStart"/>
      <w:r w:rsidRPr="001A6C95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eastAsia="Calibri" w:hAnsi="Times New Roman" w:cs="Times New Roman"/>
          <w:sz w:val="28"/>
          <w:szCs w:val="28"/>
        </w:rPr>
        <w:t xml:space="preserve"> городской округ Оренбургской области, согласно которой Контрольно-счетная палата является </w:t>
      </w:r>
      <w:r w:rsidRPr="001A6C95">
        <w:rPr>
          <w:rFonts w:ascii="Times New Roman" w:eastAsia="Calibri" w:hAnsi="Times New Roman" w:cs="Times New Roman"/>
          <w:sz w:val="28"/>
          <w:szCs w:val="28"/>
          <w:lang w:eastAsia="en-US"/>
        </w:rPr>
        <w:t>постоянно действующим органом внешнего муниципального финансового контроля, образуемым Советом депутатов</w:t>
      </w:r>
      <w:r w:rsidRPr="001A6C95">
        <w:rPr>
          <w:rFonts w:ascii="Times New Roman" w:eastAsia="Calibri" w:hAnsi="Times New Roman" w:cs="Times New Roman"/>
          <w:sz w:val="28"/>
          <w:szCs w:val="28"/>
        </w:rPr>
        <w:t xml:space="preserve">  муниципального образования </w:t>
      </w:r>
      <w:proofErr w:type="spellStart"/>
      <w:r w:rsidRPr="001A6C95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eastAsia="Calibri" w:hAnsi="Times New Roman" w:cs="Times New Roman"/>
          <w:sz w:val="28"/>
          <w:szCs w:val="28"/>
        </w:rPr>
        <w:t xml:space="preserve"> городской округ Оренбургской области (далее - Совет депутатов) </w:t>
      </w:r>
      <w:r w:rsidRPr="001A6C95">
        <w:rPr>
          <w:rFonts w:ascii="Times New Roman" w:eastAsia="Calibri" w:hAnsi="Times New Roman" w:cs="Times New Roman"/>
          <w:sz w:val="28"/>
          <w:szCs w:val="28"/>
          <w:lang w:eastAsia="en-US"/>
        </w:rPr>
        <w:t>и подотчетным ему.</w:t>
      </w:r>
      <w:proofErr w:type="gramEnd"/>
      <w:r w:rsidRPr="001A6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1A6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Контрольно-счетная палата осуществляет свою деятельность на основе </w:t>
      </w:r>
      <w:r w:rsidRPr="001A6C95">
        <w:rPr>
          <w:rFonts w:ascii="Times New Roman" w:eastAsia="Calibri" w:hAnsi="Times New Roman" w:cs="Times New Roman"/>
          <w:sz w:val="28"/>
          <w:szCs w:val="28"/>
        </w:rPr>
        <w:t xml:space="preserve">Конституции Российской Федерации, Бюджетного кодекса Российской Федерации, федеральных законов от 06.10.2003 №131-ФЗ «Об общих принципах организации местного самоуправления в Российской Федерации», от 07.02.2011 №6-ФЗ «Об общих принципах организации и деятельности контрольно-счетных органов субъектов Российской Федерации и муниципальных  образований» (далее - Федеральный закон №6-ФЗ), других нормативных правовых актов Российской Федерации и Оренбургской области, </w:t>
      </w:r>
      <w:r w:rsidRPr="001A6C95">
        <w:rPr>
          <w:rFonts w:ascii="Times New Roman" w:hAnsi="Times New Roman" w:cs="Times New Roman"/>
          <w:sz w:val="28"/>
          <w:szCs w:val="28"/>
        </w:rPr>
        <w:t>Положения о</w:t>
      </w:r>
      <w:proofErr w:type="gramEnd"/>
      <w:r w:rsidRPr="001A6C95">
        <w:rPr>
          <w:rFonts w:ascii="Times New Roman" w:hAnsi="Times New Roman" w:cs="Times New Roman"/>
          <w:sz w:val="28"/>
          <w:szCs w:val="28"/>
        </w:rPr>
        <w:t xml:space="preserve"> Контрольно-счетной палате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утвержденного решением Совета депутатов муниципального 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от 29.09.2021 №113 (далее - Положение о Контрольно-счетной палате) и иных нормативных правовых актов муниципального образования.</w:t>
      </w:r>
    </w:p>
    <w:p w:rsidR="00166604" w:rsidRPr="001A6C95" w:rsidRDefault="00166604" w:rsidP="00A63F6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lastRenderedPageBreak/>
        <w:t>Отчет о деятельности Контрольно-счетной палаты в 2022 году подготовлен в соответствии с требованиями статьи 19 Федерального закона № 6-ФЗ и статьи 20 Положения о Контрольно-счетной палате.</w:t>
      </w:r>
    </w:p>
    <w:p w:rsidR="00166604" w:rsidRPr="001A6C95" w:rsidRDefault="00166604" w:rsidP="00A63F6A">
      <w:pPr>
        <w:widowControl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1A6C95">
        <w:rPr>
          <w:rFonts w:ascii="Times New Roman" w:hAnsi="Times New Roman" w:cs="Times New Roman"/>
          <w:sz w:val="28"/>
          <w:szCs w:val="28"/>
        </w:rPr>
        <w:t>В отчете содержится информация о проведенных в 2022 году кон</w:t>
      </w:r>
      <w:r w:rsidRPr="001A6C95">
        <w:rPr>
          <w:rFonts w:ascii="Times New Roman" w:eastAsia="Calibri" w:hAnsi="Times New Roman" w:cs="Times New Roman"/>
          <w:sz w:val="28"/>
          <w:szCs w:val="28"/>
          <w:lang w:eastAsia="en-US"/>
        </w:rPr>
        <w:t>трольных и экспертно-аналитических мероприятиях, о выявленных при их проведении нарушениях, о внесенных представлениях, а также о принятых по ним решениях и мерах.</w:t>
      </w:r>
      <w:proofErr w:type="gramEnd"/>
    </w:p>
    <w:p w:rsidR="00166604" w:rsidRPr="001A6C95" w:rsidRDefault="00166604" w:rsidP="00A63F6A">
      <w:pPr>
        <w:widowControl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6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Согласно статье 12 </w:t>
      </w:r>
      <w:r w:rsidRPr="001A6C95">
        <w:rPr>
          <w:rFonts w:ascii="Times New Roman" w:hAnsi="Times New Roman" w:cs="Times New Roman"/>
          <w:sz w:val="28"/>
          <w:szCs w:val="28"/>
        </w:rPr>
        <w:t>Федерального закона № 6-ФЗ и статьи 11 Положения о Контрольно-счетной палате Контрольно-счетная палата осуществляет свою деятельность на основе планов, которые разрабатываются и утверждаются ею самостоятельно с обязательным включением поручений Совета депутатов и предложений Главы городского округа.</w:t>
      </w:r>
    </w:p>
    <w:p w:rsidR="00166604" w:rsidRPr="001A6C95" w:rsidRDefault="00166604" w:rsidP="00A63F6A">
      <w:pPr>
        <w:widowControl w:val="0"/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В отчетном году Контрольно-счетная палата выполняла свои полномочия в соответствии с утвержденным планом работы, контрольная деятельность сформирована на основе поручений Совета депутатов.</w:t>
      </w:r>
    </w:p>
    <w:p w:rsidR="00166604" w:rsidRPr="001A6C95" w:rsidRDefault="00166604" w:rsidP="00A63F6A">
      <w:pPr>
        <w:spacing w:line="240" w:lineRule="auto"/>
        <w:ind w:firstLine="781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В связи с тем, что осуществление деятельности Контрольно-счетной палаты в 2022 году стало возможным с марта месяца, в первоначально утвержденный план работы было внесено изменение по исключению одного контрольного мероприятия.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Основными направлениями в отчетном периоде оставались контрольная, экспертно-аналитическая, организационно-методическая и информационная деятельность. Основные показатели и результаты деятельности Контрольно-счетной палаты за 2022 год отражены в приложении к настоящему отчету.</w:t>
      </w:r>
    </w:p>
    <w:p w:rsidR="00166604" w:rsidRPr="001A6C95" w:rsidRDefault="00166604" w:rsidP="00A63F6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Всего в 2022 году Контрольно-счетной палатой реализованы 23 мероприятия, в том числе: 11 контрольных мероприятий (включая 6 внешних проверок бюджетной отчетности главных администраторов бюджетных средств за 2021 год), 12 экспертно-аналитических мероприятий. Контрольными мероприятиями охвачено 13 объектов; общий объем проверенных средств составил 105 427,5 тыс. рублей (по 5 контрольным мероприятиям без учета внешних проверок бюджетной отчетности главных администраторов бюджетных средств).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В соответствии с подпунктом 9 пункта 1 статьи 8 Положения о Контрольно-счетной палате утвержденные материалы проведенных мероприятий,</w:t>
      </w:r>
      <w:r w:rsidRPr="001A6C9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sz w:val="28"/>
          <w:szCs w:val="28"/>
        </w:rPr>
        <w:t>направлены</w:t>
      </w:r>
      <w:r w:rsidRPr="001A6C9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sz w:val="28"/>
          <w:szCs w:val="28"/>
        </w:rPr>
        <w:t xml:space="preserve">для информации в Совет депутатов и Главе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области.</w:t>
      </w:r>
      <w:r w:rsidRPr="001A6C9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sz w:val="28"/>
          <w:szCs w:val="28"/>
        </w:rPr>
        <w:t>Объектам контроля направлено 6 представлений и 7 материалов с предложениями, внесенными Контрольно-счетной палатой по итогам реализованных мероприятий.</w:t>
      </w:r>
      <w:r w:rsidRPr="001A6C9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1A6C95">
        <w:rPr>
          <w:rFonts w:ascii="Times New Roman" w:hAnsi="Times New Roman" w:cs="Times New Roman"/>
          <w:sz w:val="28"/>
          <w:szCs w:val="28"/>
        </w:rPr>
        <w:t xml:space="preserve">В рамках заключенного Соглашения о сотрудничестве </w:t>
      </w:r>
      <w:proofErr w:type="gramStart"/>
      <w:r w:rsidRPr="001A6C95">
        <w:rPr>
          <w:rFonts w:ascii="Times New Roman" w:hAnsi="Times New Roman" w:cs="Times New Roman"/>
          <w:sz w:val="28"/>
          <w:szCs w:val="28"/>
        </w:rPr>
        <w:t>материалы</w:t>
      </w:r>
      <w:proofErr w:type="gramEnd"/>
      <w:r w:rsidRPr="001A6C95">
        <w:rPr>
          <w:rFonts w:ascii="Times New Roman" w:hAnsi="Times New Roman" w:cs="Times New Roman"/>
          <w:sz w:val="28"/>
          <w:szCs w:val="28"/>
        </w:rPr>
        <w:t xml:space="preserve"> о </w:t>
      </w:r>
      <w:r w:rsidRPr="001A6C95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результатах проведенных контрольных мероприятиях также были направлены в прокуратуру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района. </w:t>
      </w:r>
      <w:r w:rsidRPr="001A6C95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Осуществлялось межведомственное взаимодействие Контрольно-счетной палаты с правоохранительными и надзорными органами и в формате сформированной межведомственной рабочей группы по противодействию коррупции. </w:t>
      </w:r>
      <w:r w:rsidRPr="001A6C95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1A6C95">
        <w:rPr>
          <w:rFonts w:ascii="Times New Roman" w:hAnsi="Times New Roman" w:cs="Times New Roman"/>
          <w:sz w:val="28"/>
          <w:szCs w:val="28"/>
        </w:rPr>
        <w:t xml:space="preserve">Важным элементом экспертно-аналитической работы является экспертиза проектов решений Совета депутатов, а также иных нормативных правовых актов, предусматривающих расходы за счет средств бюджета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(далее - бюджет городского округа). </w:t>
      </w:r>
      <w:proofErr w:type="gramStart"/>
      <w:r w:rsidRPr="001A6C95">
        <w:rPr>
          <w:rFonts w:ascii="Times New Roman" w:hAnsi="Times New Roman" w:cs="Times New Roman"/>
          <w:sz w:val="28"/>
          <w:szCs w:val="28"/>
        </w:rPr>
        <w:t xml:space="preserve">Ключевой составляющей при проведении экспертиз оставался контроль за формированием и исполнением бюджета городского округа, который в отчетном периоде был реализован посредством проведения внешней проверки годового отчета об исполнении бюджета за 2021 год, экспертизы проекта решения Совета депутатов «О бюджете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на 2023 год и на плановый период 2024 и 2025 годов»  и экспертизы проектов решений Совета</w:t>
      </w:r>
      <w:proofErr w:type="gramEnd"/>
      <w:r w:rsidRPr="001A6C95">
        <w:rPr>
          <w:rFonts w:ascii="Times New Roman" w:hAnsi="Times New Roman" w:cs="Times New Roman"/>
          <w:sz w:val="28"/>
          <w:szCs w:val="28"/>
        </w:rPr>
        <w:t xml:space="preserve"> депутатов, вносящих изменения в бюджет городского округа в ходе его исполнения. 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6C95">
        <w:rPr>
          <w:rFonts w:ascii="Times New Roman" w:hAnsi="Times New Roman" w:cs="Times New Roman"/>
          <w:sz w:val="28"/>
          <w:szCs w:val="28"/>
        </w:rPr>
        <w:t xml:space="preserve">Реализуя принципы открытости и гласности, закрепленные Положением о Контрольно-счетной палате (статья 3), Контрольно-счетная палата в 2022 году осуществляла информационную деятельность, размещая на официальном сайте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в сети Интернет информацию о результатах проведенных контрольных мероприятиях, о выявленных при их проведении нарушениях, заключения о результатах экспертно-аналитических мероприятий, отчет о результатах деятельности за 2021 год. </w:t>
      </w:r>
      <w:proofErr w:type="gramEnd"/>
    </w:p>
    <w:p w:rsidR="00166604" w:rsidRPr="001A6C95" w:rsidRDefault="00166604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Работники  Контрольно-счетной палаты принимали участие в семинарах, круглых столах  организованных Счетной палатой Оренбургской области, Советом контрольно-счетных органов при Счетной палате Оренбургской области, а также в 3 обучающих мероприятиях организованных Союзом контрольно-счетных органов. Мероприятия проводились в дистанционном формате. В 2022 году председатель Контрольно-счетной палаты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Гайворонская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М.Н. вновь включена в состав Президиума Совета контрольно-счетных органов Оренбургской области при Счетной палате Оренбургской области.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Методологическое обеспечение деятельности Контрольно-счетной палаты, оставаясь важнейшим направлением ее деятельности в 2022 году, заключалось в разработке стандартов, регулирующих процедуры организации и осуществления контрольной и экспертно-аналитической деятельности. В 2022 году </w:t>
      </w:r>
      <w:proofErr w:type="gramStart"/>
      <w:r w:rsidRPr="001A6C95">
        <w:rPr>
          <w:rFonts w:ascii="Times New Roman" w:hAnsi="Times New Roman" w:cs="Times New Roman"/>
          <w:sz w:val="28"/>
          <w:szCs w:val="28"/>
        </w:rPr>
        <w:t>разработаны</w:t>
      </w:r>
      <w:proofErr w:type="gramEnd"/>
      <w:r w:rsidRPr="001A6C95">
        <w:rPr>
          <w:rFonts w:ascii="Times New Roman" w:hAnsi="Times New Roman" w:cs="Times New Roman"/>
          <w:sz w:val="28"/>
          <w:szCs w:val="28"/>
        </w:rPr>
        <w:t xml:space="preserve"> и утверждены 2 стандарта.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Кроме того, для организации и осуществления основных видов </w:t>
      </w:r>
      <w:r w:rsidRPr="001A6C95">
        <w:rPr>
          <w:rFonts w:ascii="Times New Roman" w:hAnsi="Times New Roman" w:cs="Times New Roman"/>
          <w:sz w:val="28"/>
          <w:szCs w:val="28"/>
        </w:rPr>
        <w:lastRenderedPageBreak/>
        <w:t>деятельности Контрольно-счетной палатой проводились обеспечивающие мероприятия: кадровые, материально-технические и другие.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>2. Контрольная деятельность. Основные итоги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В процессе осуществления экспертно-аналитической, информационной и иных видов деятельности Контрольно-счетная палата обеспечивает единую систему </w:t>
      </w:r>
      <w:proofErr w:type="gramStart"/>
      <w:r w:rsidRPr="001A6C9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A6C95">
        <w:rPr>
          <w:rFonts w:ascii="Times New Roman" w:hAnsi="Times New Roman" w:cs="Times New Roman"/>
          <w:sz w:val="28"/>
          <w:szCs w:val="28"/>
        </w:rPr>
        <w:t xml:space="preserve"> исполнением бюджета городского округа. Все виды осуществляемой деятельности тесно связаны между собой и по своей сути являются контрольными, так как направлены на решение и достижение задач и целей финансового контроля, поставленных перед Контрольно-счетной палатой как органом муниципального внешнего финансового контроля. Однако именно контрольно-ревизионная и экспертно-аналитическая деятельность, осуществляемая в соответствии с планом работы, обеспечивает непосредственное выполнение возложенных на Контрольно-счетную палату функций. 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В целях единого подхода к оценке выявленных нарушений их группировка в настоящем отчете произведена на основе одобренного Советом контрольно-счетных органов при Счетной палате Российской Федерации и утвержденного Коллегией Счетной палаты Оренбургской области Классификатора нарушений, выявляемых в ходе внешнего государственного контроля (аудита). </w:t>
      </w:r>
    </w:p>
    <w:p w:rsidR="00166604" w:rsidRPr="001A6C95" w:rsidRDefault="00166604" w:rsidP="00A63F6A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Выявленные нарушения и недостатки, отраженные в отчете, дифференцированы на две основные категории: процедурные нарушения, измеряемые количественно, и финансовые нарушения, выраженные в денежных единицах измерения. Такая классификация позволяет учесть нарушения, не имеющие суммового значения, и тем самым отразить реальную картину результатов контрольной деятельности Контрольно-счетной палаты.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Структура нарушений выявленных Контрольно-счетной палатой в 2022 году, представлена в таблице 1</w:t>
      </w:r>
    </w:p>
    <w:p w:rsidR="00A63F6A" w:rsidRDefault="00A63F6A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9606" w:type="dxa"/>
        <w:tblLayout w:type="fixed"/>
        <w:tblLook w:val="04A0"/>
      </w:tblPr>
      <w:tblGrid>
        <w:gridCol w:w="4928"/>
        <w:gridCol w:w="709"/>
        <w:gridCol w:w="1559"/>
        <w:gridCol w:w="1276"/>
        <w:gridCol w:w="1134"/>
      </w:tblGrid>
      <w:tr w:rsidR="00166604" w:rsidRPr="001A6C95" w:rsidTr="00291962">
        <w:tc>
          <w:tcPr>
            <w:tcW w:w="4928" w:type="dxa"/>
            <w:vMerge w:val="restart"/>
            <w:vAlign w:val="center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Группы нарушений</w:t>
            </w:r>
          </w:p>
        </w:tc>
        <w:tc>
          <w:tcPr>
            <w:tcW w:w="709" w:type="dxa"/>
            <w:vMerge w:val="restart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835" w:type="dxa"/>
            <w:gridSpan w:val="2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Количество нарушений</w:t>
            </w:r>
          </w:p>
        </w:tc>
        <w:tc>
          <w:tcPr>
            <w:tcW w:w="1134" w:type="dxa"/>
            <w:vMerge w:val="restart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Сумма финансовых нарушений, тыс. рублей</w:t>
            </w:r>
          </w:p>
        </w:tc>
      </w:tr>
      <w:tr w:rsidR="00166604" w:rsidRPr="001A6C95" w:rsidTr="00291962">
        <w:tc>
          <w:tcPr>
            <w:tcW w:w="4928" w:type="dxa"/>
            <w:vMerge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vMerge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604" w:rsidRPr="001A6C95" w:rsidTr="00291962">
        <w:tc>
          <w:tcPr>
            <w:tcW w:w="4928" w:type="dxa"/>
            <w:vMerge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нефинансовые (процедурные)</w:t>
            </w:r>
          </w:p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</w:p>
        </w:tc>
        <w:tc>
          <w:tcPr>
            <w:tcW w:w="1276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финансовые нарушения</w:t>
            </w:r>
          </w:p>
        </w:tc>
        <w:tc>
          <w:tcPr>
            <w:tcW w:w="1134" w:type="dxa"/>
            <w:vMerge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604" w:rsidRPr="001A6C95" w:rsidTr="00291962">
        <w:tc>
          <w:tcPr>
            <w:tcW w:w="4928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Нарушения при формировании и исполнении бюджета</w:t>
            </w:r>
          </w:p>
        </w:tc>
        <w:tc>
          <w:tcPr>
            <w:tcW w:w="709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162</w:t>
            </w:r>
          </w:p>
        </w:tc>
        <w:tc>
          <w:tcPr>
            <w:tcW w:w="1559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276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134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17 531,1</w:t>
            </w:r>
          </w:p>
        </w:tc>
      </w:tr>
      <w:tr w:rsidR="00166604" w:rsidRPr="001A6C95" w:rsidTr="00291962">
        <w:tc>
          <w:tcPr>
            <w:tcW w:w="4928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709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 xml:space="preserve"> 2 622,2</w:t>
            </w:r>
          </w:p>
        </w:tc>
      </w:tr>
      <w:tr w:rsidR="00166604" w:rsidRPr="001A6C95" w:rsidTr="00291962">
        <w:tc>
          <w:tcPr>
            <w:tcW w:w="4928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Нарушения в сфере управления и распоряжения муниципальной собственностью</w:t>
            </w:r>
          </w:p>
        </w:tc>
        <w:tc>
          <w:tcPr>
            <w:tcW w:w="709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  <w:tc>
          <w:tcPr>
            <w:tcW w:w="1559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276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6604" w:rsidRPr="001A6C95" w:rsidTr="00291962">
        <w:tc>
          <w:tcPr>
            <w:tcW w:w="4928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Нарушения при осуществлении муниципальных закупок и закупок отдельными видами юридических лиц</w:t>
            </w:r>
          </w:p>
        </w:tc>
        <w:tc>
          <w:tcPr>
            <w:tcW w:w="709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1559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276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6604" w:rsidRPr="001A6C95" w:rsidTr="00291962">
        <w:tc>
          <w:tcPr>
            <w:tcW w:w="4928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Нецелевое использование бюджетных средств</w:t>
            </w:r>
          </w:p>
        </w:tc>
        <w:tc>
          <w:tcPr>
            <w:tcW w:w="709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166604" w:rsidRPr="001A6C95" w:rsidTr="00291962">
        <w:tc>
          <w:tcPr>
            <w:tcW w:w="4928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09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308</w:t>
            </w:r>
          </w:p>
        </w:tc>
        <w:tc>
          <w:tcPr>
            <w:tcW w:w="1559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242</w:t>
            </w:r>
          </w:p>
        </w:tc>
        <w:tc>
          <w:tcPr>
            <w:tcW w:w="1276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1134" w:type="dxa"/>
          </w:tcPr>
          <w:p w:rsidR="00166604" w:rsidRPr="001A6C95" w:rsidRDefault="00166604" w:rsidP="00A63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20 158,3</w:t>
            </w:r>
          </w:p>
        </w:tc>
      </w:tr>
    </w:tbl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Из общего количества нарушений (308 случаев) доля финансовых нарушений составляет 21,4% (66 случаев), доля процедурных нарушений-78,6% (242 случая).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Наибольшее количество нарушений (162 случая) выявлено при </w:t>
      </w:r>
      <w:r w:rsidRPr="001A6C95">
        <w:rPr>
          <w:rFonts w:ascii="Times New Roman" w:hAnsi="Times New Roman" w:cs="Times New Roman"/>
          <w:i/>
          <w:sz w:val="28"/>
          <w:szCs w:val="28"/>
        </w:rPr>
        <w:t>формировании и</w:t>
      </w:r>
      <w:r w:rsidRPr="001A6C95">
        <w:rPr>
          <w:rFonts w:ascii="Times New Roman" w:hAnsi="Times New Roman" w:cs="Times New Roman"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i/>
          <w:sz w:val="28"/>
          <w:szCs w:val="28"/>
        </w:rPr>
        <w:t>исполнении бюджета</w:t>
      </w:r>
      <w:r w:rsidRPr="001A6C95">
        <w:rPr>
          <w:rFonts w:ascii="Times New Roman" w:hAnsi="Times New Roman" w:cs="Times New Roman"/>
          <w:sz w:val="28"/>
          <w:szCs w:val="28"/>
        </w:rPr>
        <w:t xml:space="preserve">, из них: в результате нарушения порядка формирования и (или) финансового обеспечения выполнения муниципального задания на оказание муниципальных услуг (выполнение работ) муниципальными учреждениями 80 случаев (в том числе: финансовые нарушения в количестве 27 случаев на сумму 17 391,8 тыс. рублей). </w:t>
      </w:r>
      <w:proofErr w:type="gramStart"/>
      <w:r w:rsidRPr="001A6C95">
        <w:rPr>
          <w:rFonts w:ascii="Times New Roman" w:hAnsi="Times New Roman" w:cs="Times New Roman"/>
          <w:sz w:val="28"/>
          <w:szCs w:val="28"/>
        </w:rPr>
        <w:t>В</w:t>
      </w:r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ходе проверки использования финансовых средств, выделенных муниципальным общеобразовательным бюджетным учреждениям у</w:t>
      </w:r>
      <w:r w:rsidRPr="001A6C95">
        <w:rPr>
          <w:rFonts w:ascii="Times New Roman" w:hAnsi="Times New Roman" w:cs="Times New Roman"/>
          <w:sz w:val="28"/>
          <w:szCs w:val="28"/>
        </w:rPr>
        <w:t>становлено, что</w:t>
      </w:r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объем субсидий рассчитан с нарушением порядка финансового обеспечения выполнения муниципального задания (4 случая в сумме 14 976,8 тыс. рублей), также выявлены 23 случая нарушения графиков перечисления субсидий на финансовое обеспечение выполнение муниципальных заданий (нарушение оценивается в сумме 2 415,0 тыс. рублей).</w:t>
      </w:r>
      <w:proofErr w:type="gramEnd"/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lastRenderedPageBreak/>
        <w:t xml:space="preserve"> Также указанная группа включает нарушения порядка формирования и исполнения плана финансово-хозяйственной деятельности муниципальным бюджетным (автономным) учреждением - 27 случаев; нарушение порядка обеспечения открытости и доступности сведений, содержащихся в документах, равно как и самих документов муниципальных учреждений, путем размещения на официальном сайте в информационно-телекоммуникационной сети «Интернет» или средствах массовой информации – 19 случаев. 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Одно из важных направлений муниципального финансового контроля – </w:t>
      </w:r>
      <w:proofErr w:type="gramStart"/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 за</w:t>
      </w:r>
      <w:proofErr w:type="gramEnd"/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соблюдением адресности и целевого характера использования бюджетных средств. С</w:t>
      </w:r>
      <w:r w:rsidRPr="001A6C95">
        <w:rPr>
          <w:rFonts w:ascii="Times New Roman" w:hAnsi="Times New Roman" w:cs="Times New Roman"/>
          <w:sz w:val="28"/>
          <w:szCs w:val="28"/>
        </w:rPr>
        <w:t xml:space="preserve">умма </w:t>
      </w:r>
      <w:r w:rsidRPr="001A6C95">
        <w:rPr>
          <w:rFonts w:ascii="Times New Roman" w:hAnsi="Times New Roman" w:cs="Times New Roman"/>
          <w:i/>
          <w:sz w:val="28"/>
          <w:szCs w:val="28"/>
        </w:rPr>
        <w:t>нецелевого использования бюджетных сре</w:t>
      </w:r>
      <w:proofErr w:type="gramStart"/>
      <w:r w:rsidRPr="001A6C95">
        <w:rPr>
          <w:rFonts w:ascii="Times New Roman" w:hAnsi="Times New Roman" w:cs="Times New Roman"/>
          <w:i/>
          <w:sz w:val="28"/>
          <w:szCs w:val="28"/>
        </w:rPr>
        <w:t>дств</w:t>
      </w:r>
      <w:r w:rsidRPr="001A6C95">
        <w:rPr>
          <w:rFonts w:ascii="Times New Roman" w:hAnsi="Times New Roman" w:cs="Times New Roman"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>в х</w:t>
      </w:r>
      <w:proofErr w:type="gramEnd"/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>оде формирования и исполнения бюджета</w:t>
      </w:r>
      <w:r w:rsidRPr="001A6C95">
        <w:rPr>
          <w:rFonts w:ascii="Times New Roman" w:hAnsi="Times New Roman" w:cs="Times New Roman"/>
          <w:sz w:val="28"/>
          <w:szCs w:val="28"/>
        </w:rPr>
        <w:t xml:space="preserve"> выявленного</w:t>
      </w:r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Контрольно-счетной палатой в 2022 году,</w:t>
      </w:r>
      <w:r w:rsidRPr="001A6C95">
        <w:rPr>
          <w:rFonts w:ascii="Times New Roman" w:hAnsi="Times New Roman" w:cs="Times New Roman"/>
          <w:sz w:val="28"/>
          <w:szCs w:val="28"/>
        </w:rPr>
        <w:t xml:space="preserve"> составила 5,0 тыс. рублей (средства субвенции на исполнение переданных государственных полномочий). На основании информации, представленной финансовым управлением администрации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округ, средства возвращены в областной бюджет.  </w:t>
      </w:r>
    </w:p>
    <w:p w:rsidR="00166604" w:rsidRPr="001A6C95" w:rsidRDefault="00166604" w:rsidP="00A63F6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>Анализ материалов проверок Контрольно-счетной палаты показывает, что в ходе исполнения бюджета объектами контроля допускались нарушения порядка и условий оплаты труда работников муниципальных бюджетных, автономных учреждений. В 2022 году выявлено 36 нарушений в сумме 139,3 тыс. рублей неверного исчисления (как завышение, так и занижение) выплат компенсационного и стимулирующего характера работникам муниципальных учреждений. Также установлены факты премирования руководителя учреждения без учета результатов его работы и выплата материальной помощи при отсутствии документального подтверждения права ее получения.</w:t>
      </w:r>
    </w:p>
    <w:p w:rsidR="00166604" w:rsidRPr="001A6C95" w:rsidRDefault="00166604" w:rsidP="00A63F6A">
      <w:pPr>
        <w:widowControl w:val="0"/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>В 2022 году Контрольно-счетной палатой</w:t>
      </w:r>
      <w:r w:rsidRPr="001A6C95">
        <w:rPr>
          <w:rFonts w:ascii="Times New Roman" w:hAnsi="Times New Roman" w:cs="Times New Roman"/>
          <w:color w:val="000000"/>
          <w:sz w:val="28"/>
          <w:szCs w:val="28"/>
        </w:rPr>
        <w:t xml:space="preserve"> выявлено </w:t>
      </w:r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87 случаев нарушений законодательства </w:t>
      </w:r>
      <w:r w:rsidRPr="001A6C9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 сфере управления и распоряжения муниципальной  собственностью.</w:t>
      </w:r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66604" w:rsidRPr="001A6C95" w:rsidRDefault="00166604" w:rsidP="00A63F6A">
      <w:pPr>
        <w:widowControl w:val="0"/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ходе контрольных мероприятий выявлялись факты несоблюдения правообладателем порядка предоставления сведений для внесения в реестр муниципального имущества и исключения из реестра (66 случаев), нарушения порядка отнесения имущества автономного или бюджетного учреждения к категории особо ценного движимого имущества (11 случаев), а также несоблюдение требования (порядка) государственной регистрации прав на недвижимое имущество (права оперативного управления) (10 случаев). </w:t>
      </w:r>
      <w:proofErr w:type="gramEnd"/>
    </w:p>
    <w:p w:rsidR="00166604" w:rsidRPr="001A6C95" w:rsidRDefault="00166604" w:rsidP="00A63F6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В соответствии с полномочиями, предоставленными законодательством, Контрольно-счетной палатой при проведении контрольных мероприятий в 2022 году затрагивались вопросы </w:t>
      </w:r>
      <w:r w:rsidRPr="001A6C95">
        <w:rPr>
          <w:rFonts w:ascii="Times New Roman" w:hAnsi="Times New Roman" w:cs="Times New Roman"/>
          <w:i/>
          <w:sz w:val="28"/>
          <w:szCs w:val="28"/>
        </w:rPr>
        <w:t xml:space="preserve">аудита в </w:t>
      </w:r>
      <w:r w:rsidRPr="001A6C95">
        <w:rPr>
          <w:rFonts w:ascii="Times New Roman" w:hAnsi="Times New Roman" w:cs="Times New Roman"/>
          <w:i/>
          <w:sz w:val="28"/>
          <w:szCs w:val="28"/>
        </w:rPr>
        <w:lastRenderedPageBreak/>
        <w:t>сфере закупок</w:t>
      </w:r>
      <w:r w:rsidRPr="001A6C95">
        <w:rPr>
          <w:rFonts w:ascii="Times New Roman" w:hAnsi="Times New Roman" w:cs="Times New Roman"/>
          <w:sz w:val="28"/>
          <w:szCs w:val="28"/>
        </w:rPr>
        <w:t>. Основная задача в данной сфере контроля – выявление нарушений законодательства в сфере закупок, установление способствующих тому причин, подготовка предложений по их устранению.</w:t>
      </w:r>
    </w:p>
    <w:p w:rsidR="00166604" w:rsidRPr="001A6C95" w:rsidRDefault="00166604" w:rsidP="00A63F6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В сфере контроля</w:t>
      </w:r>
      <w:r w:rsidRPr="001A6C9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sz w:val="28"/>
          <w:szCs w:val="28"/>
        </w:rPr>
        <w:t xml:space="preserve">муниципальных закупок Контрольно-счетной палатой </w:t>
      </w:r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2022 году </w:t>
      </w:r>
      <w:r w:rsidRPr="001A6C95">
        <w:rPr>
          <w:rFonts w:ascii="Times New Roman" w:hAnsi="Times New Roman" w:cs="Times New Roman"/>
          <w:sz w:val="28"/>
          <w:szCs w:val="28"/>
        </w:rPr>
        <w:t xml:space="preserve">выявлено 55 нарушений, которые являются процедурными (нефинансовыми) и включают следующие виды нарушений: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неразмещение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или размещение с нарушением срока в единой информационной системе в сфере закупок информации о закупке (22 случая); нарушения порядка формирования, утверждения и ведения плана-графика закупок товаров, работ, услуг для обеспечения муниципальных нужд, порядка его размещения в единой информационной системе в сфере закупок в открытом доступе (32 случая); отсутствие  контрактного управляющего (1 случай). 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При осуществлении контрольной деятельности в 2022 году Контрольно-счетной палатой </w:t>
      </w:r>
      <w:r w:rsidRPr="001A6C95">
        <w:rPr>
          <w:rFonts w:ascii="Times New Roman" w:hAnsi="Times New Roman" w:cs="Times New Roman"/>
          <w:iCs/>
          <w:sz w:val="28"/>
          <w:szCs w:val="28"/>
        </w:rPr>
        <w:t xml:space="preserve">в программы проверок включались вопросы ведения бухгалтерского (бюджетного) учета, </w:t>
      </w:r>
      <w:r w:rsidRPr="001A6C95">
        <w:rPr>
          <w:rFonts w:ascii="Times New Roman" w:hAnsi="Times New Roman" w:cs="Times New Roman"/>
          <w:sz w:val="28"/>
          <w:szCs w:val="28"/>
        </w:rPr>
        <w:t xml:space="preserve">достоверности бухгалтерской (бюджетной) отчетности. </w:t>
      </w:r>
      <w:proofErr w:type="gramStart"/>
      <w:r w:rsidRPr="001A6C95">
        <w:rPr>
          <w:rFonts w:ascii="Times New Roman" w:hAnsi="Times New Roman" w:cs="Times New Roman"/>
          <w:sz w:val="28"/>
          <w:szCs w:val="28"/>
        </w:rPr>
        <w:t xml:space="preserve">По результатам проведенных в отчетном периоде контрольных мероприятий выявлено 3 случая </w:t>
      </w:r>
      <w:r w:rsidRPr="001A6C95">
        <w:rPr>
          <w:rFonts w:ascii="Times New Roman" w:hAnsi="Times New Roman" w:cs="Times New Roman"/>
          <w:i/>
          <w:sz w:val="28"/>
          <w:szCs w:val="28"/>
        </w:rPr>
        <w:t>нарушений правил ведения бухгалтерского учета, составления и представления</w:t>
      </w:r>
      <w:r w:rsidRPr="001A6C95">
        <w:rPr>
          <w:rFonts w:ascii="Times New Roman" w:hAnsi="Times New Roman" w:cs="Times New Roman"/>
          <w:i/>
          <w:iCs/>
          <w:sz w:val="28"/>
          <w:szCs w:val="28"/>
        </w:rPr>
        <w:t xml:space="preserve"> бухгалтерской (</w:t>
      </w:r>
      <w:r w:rsidRPr="001A6C95">
        <w:rPr>
          <w:rFonts w:ascii="Times New Roman" w:hAnsi="Times New Roman" w:cs="Times New Roman"/>
          <w:i/>
          <w:sz w:val="28"/>
          <w:szCs w:val="28"/>
        </w:rPr>
        <w:t xml:space="preserve">финансовой) отчетности </w:t>
      </w:r>
      <w:r w:rsidRPr="001A6C95">
        <w:rPr>
          <w:rFonts w:ascii="Times New Roman" w:hAnsi="Times New Roman" w:cs="Times New Roman"/>
          <w:sz w:val="28"/>
          <w:szCs w:val="28"/>
        </w:rPr>
        <w:t>в общей сумме 2 622,2 тыс. рублей, которые включают следующие виды нарушений: нарушение требований к оформлению и ведению регистров бухгалтерского учета (1 случай),  искажение показателей бухгалтерской отчетности (2 случая в сумме 2 622,2 тыс. рублей).</w:t>
      </w:r>
      <w:proofErr w:type="gramEnd"/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66604" w:rsidRPr="001A6C95" w:rsidRDefault="00166604" w:rsidP="00A63F6A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A6C9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2.1.Контрольная деятельность за расходами в сфере образования</w:t>
      </w:r>
    </w:p>
    <w:p w:rsidR="00166604" w:rsidRPr="001A6C95" w:rsidRDefault="00166604" w:rsidP="00A63F6A">
      <w:pPr>
        <w:widowControl w:val="0"/>
        <w:spacing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highlight w:val="yellow"/>
          <w:lang w:eastAsia="en-US"/>
        </w:rPr>
      </w:pP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6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течение года в сфере образования проведены 3 </w:t>
      </w:r>
      <w:proofErr w:type="gramStart"/>
      <w:r w:rsidRPr="001A6C95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контрольных</w:t>
      </w:r>
      <w:proofErr w:type="gramEnd"/>
      <w:r w:rsidRPr="001A6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мероприятия.</w:t>
      </w:r>
      <w:r w:rsidRPr="001A6C95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Проверками было охвачено 4 объекта контроля.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A6C95">
        <w:rPr>
          <w:rFonts w:ascii="Times New Roman" w:eastAsia="Calibri" w:hAnsi="Times New Roman" w:cs="Times New Roman"/>
          <w:sz w:val="28"/>
          <w:szCs w:val="28"/>
          <w:lang w:eastAsia="en-US"/>
        </w:rPr>
        <w:t>По итогам контрольного мероприятия</w:t>
      </w:r>
      <w:r w:rsidRPr="001A6C95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1A6C95">
        <w:rPr>
          <w:rFonts w:ascii="Times New Roman" w:hAnsi="Times New Roman" w:cs="Times New Roman"/>
          <w:b/>
          <w:sz w:val="28"/>
          <w:szCs w:val="28"/>
        </w:rPr>
        <w:t xml:space="preserve">Проверка использования бюджетных средств, выделенных в 2021 году и истекшем периоде 2022 года МОБУ «Изобильная средняя общеобразовательная школа» </w:t>
      </w:r>
      <w:proofErr w:type="spellStart"/>
      <w:r w:rsidRPr="001A6C95">
        <w:rPr>
          <w:rFonts w:ascii="Times New Roman" w:hAnsi="Times New Roman" w:cs="Times New Roman"/>
          <w:b/>
          <w:sz w:val="28"/>
          <w:szCs w:val="28"/>
        </w:rPr>
        <w:t>Соль-Илецкого</w:t>
      </w:r>
      <w:proofErr w:type="spellEnd"/>
      <w:r w:rsidRPr="001A6C95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Оренбургской области в рамках муниципальной программы </w:t>
      </w:r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«Развитие системы образования </w:t>
      </w:r>
      <w:proofErr w:type="spellStart"/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Соль-Илецкого</w:t>
      </w:r>
      <w:proofErr w:type="spellEnd"/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городского округа на 2021-2022 годы»</w:t>
      </w:r>
      <w:r w:rsidRPr="001A6C95">
        <w:rPr>
          <w:rFonts w:ascii="Times New Roman" w:hAnsi="Times New Roman" w:cs="Times New Roman"/>
          <w:b/>
          <w:sz w:val="28"/>
          <w:szCs w:val="28"/>
        </w:rPr>
        <w:t xml:space="preserve">. Аудит в сфере закупок» </w:t>
      </w:r>
      <w:r w:rsidRPr="001A6C95">
        <w:rPr>
          <w:rFonts w:ascii="Times New Roman" w:hAnsi="Times New Roman" w:cs="Times New Roman"/>
          <w:sz w:val="28"/>
          <w:szCs w:val="28"/>
          <w:lang w:eastAsia="en-US"/>
        </w:rPr>
        <w:t>выявлены нарушения на общую сумму 14 665,4 тыс. рублей, в том числе: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A6C95">
        <w:rPr>
          <w:rFonts w:ascii="Times New Roman" w:hAnsi="Times New Roman" w:cs="Times New Roman"/>
          <w:i/>
          <w:sz w:val="28"/>
          <w:szCs w:val="28"/>
          <w:lang w:eastAsia="en-US"/>
        </w:rPr>
        <w:t>нарушения при формировании и исполнении бюджета</w:t>
      </w:r>
      <w:r w:rsidRPr="001A6C95">
        <w:rPr>
          <w:rFonts w:ascii="Times New Roman" w:hAnsi="Times New Roman" w:cs="Times New Roman"/>
          <w:sz w:val="28"/>
          <w:szCs w:val="28"/>
          <w:lang w:eastAsia="en-US"/>
        </w:rPr>
        <w:t xml:space="preserve"> – 12 713,5 тыс. рублей, из них: нарушения в сфере заработной платы и иных выплат 73,5 тыс. рублей;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A6C9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A6C95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нецелевое расходование бюджетных средств </w:t>
      </w:r>
      <w:r w:rsidRPr="001A6C95">
        <w:rPr>
          <w:rFonts w:ascii="Times New Roman" w:hAnsi="Times New Roman" w:cs="Times New Roman"/>
          <w:sz w:val="28"/>
          <w:szCs w:val="28"/>
          <w:lang w:eastAsia="en-US"/>
        </w:rPr>
        <w:t>– 5,0 тыс. рублей;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i/>
          <w:sz w:val="28"/>
          <w:szCs w:val="28"/>
          <w:lang w:eastAsia="en-US"/>
        </w:rPr>
        <w:lastRenderedPageBreak/>
        <w:t xml:space="preserve">нарушения ведения бухгалтерского учета, составления и представления бухгалтерской (финансовой) отчетности </w:t>
      </w:r>
      <w:r w:rsidRPr="001A6C95">
        <w:rPr>
          <w:rFonts w:ascii="Times New Roman" w:hAnsi="Times New Roman" w:cs="Times New Roman"/>
          <w:sz w:val="28"/>
          <w:szCs w:val="28"/>
          <w:lang w:eastAsia="en-US"/>
        </w:rPr>
        <w:t>– 1 946,9 тыс. рублей.</w:t>
      </w:r>
      <w:r w:rsidRPr="001A6C9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>В ходе контрольного мероприятия выявлены нарушения, в том числе основные из них: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 xml:space="preserve">нарушение порядка </w:t>
      </w:r>
      <w:r w:rsidRPr="001A6C95">
        <w:rPr>
          <w:rFonts w:ascii="Times New Roman" w:hAnsi="Times New Roman" w:cs="Times New Roman"/>
          <w:sz w:val="28"/>
          <w:szCs w:val="28"/>
        </w:rPr>
        <w:t>формирования и (или) финансового обеспечения выполнения муниципального задания на оказание муниципальных услуг (выполнение работ) муниципальными учреждениями: допускались случаи предоставления отчетов о выполнении муниципального задания, содержащих недостоверные сведения о фактическом достижении показателей, характеризующих объем муниципальной услуги; расчет</w:t>
      </w:r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объемов субсидий с нарушением порядка финансового обеспечения выполнения муниципального задания в сумме 11 964,3 тыс. рублей, установлены 9 фактов</w:t>
      </w:r>
      <w:r w:rsidRPr="001A6C95">
        <w:rPr>
          <w:rFonts w:ascii="Times New Roman" w:hAnsi="Times New Roman" w:cs="Times New Roman"/>
          <w:sz w:val="28"/>
          <w:szCs w:val="28"/>
        </w:rPr>
        <w:t xml:space="preserve"> перечисления субсидии с нарушением графиков на общую сумму 675,7 тыс. рублей;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  <w:lang w:eastAsia="en-US"/>
        </w:rPr>
        <w:t>нарушения ведения бухгалтерского учета, составления и представления бухгалтерской (финансовой) отчетности:</w:t>
      </w:r>
      <w:r w:rsidRPr="001A6C95">
        <w:rPr>
          <w:rFonts w:ascii="Times New Roman" w:hAnsi="Times New Roman" w:cs="Times New Roman"/>
          <w:bCs/>
          <w:sz w:val="28"/>
          <w:szCs w:val="28"/>
        </w:rPr>
        <w:t xml:space="preserve"> искажение показателей бухгалтерской отчетности, отраженных в Сведениях о движении нефинансовых активов (ф.0503768) по виду деятельности «субсидии на выполнение государственного (муниципального) задания» в сумме 1 946,9 тыс. рублей;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нарушения порядка исчисления и выплаты заработной платы, а также иных выплат: нарушено Положение об оплате труда  в части определения и начисления надбавок к должностным окладам работников учреждения. Приняты меры по возврату неправомерных выплат работникам учреждения в сумме 73,5 тыс. рублей.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 xml:space="preserve"> По итогам проведенного контрольного мероприятия направлено два представления Контрольно-счетной палаты.</w:t>
      </w:r>
    </w:p>
    <w:p w:rsidR="00166604" w:rsidRPr="001A6C95" w:rsidRDefault="00166604" w:rsidP="00A63F6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A6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ходе контрольного мероприятия </w:t>
      </w:r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1A6C95">
        <w:rPr>
          <w:rFonts w:ascii="Times New Roman" w:hAnsi="Times New Roman" w:cs="Times New Roman"/>
          <w:b/>
          <w:sz w:val="28"/>
          <w:szCs w:val="28"/>
        </w:rPr>
        <w:t xml:space="preserve">Проверка использования бюджетных средств, выделенных в 2021 году и истекшем периоде 2022 года МОБУ «Средняя общеобразовательная школа №7» </w:t>
      </w:r>
      <w:proofErr w:type="spellStart"/>
      <w:r w:rsidRPr="001A6C95">
        <w:rPr>
          <w:rFonts w:ascii="Times New Roman" w:hAnsi="Times New Roman" w:cs="Times New Roman"/>
          <w:b/>
          <w:sz w:val="28"/>
          <w:szCs w:val="28"/>
        </w:rPr>
        <w:t>Соль-Илецкого</w:t>
      </w:r>
      <w:proofErr w:type="spellEnd"/>
      <w:r w:rsidRPr="001A6C95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Оренбургской области в рамках муниципальной программы </w:t>
      </w:r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«Развитие системы образования </w:t>
      </w:r>
      <w:proofErr w:type="spellStart"/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Соль-Илецкого</w:t>
      </w:r>
      <w:proofErr w:type="spellEnd"/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городского округа на 2021-2022 годы»</w:t>
      </w:r>
      <w:r w:rsidRPr="001A6C95">
        <w:rPr>
          <w:rFonts w:ascii="Times New Roman" w:hAnsi="Times New Roman" w:cs="Times New Roman"/>
          <w:b/>
          <w:sz w:val="28"/>
          <w:szCs w:val="28"/>
        </w:rPr>
        <w:t xml:space="preserve">. Аудит в сфере закупок» </w:t>
      </w:r>
      <w:r w:rsidRPr="001A6C95">
        <w:rPr>
          <w:rFonts w:ascii="Times New Roman" w:hAnsi="Times New Roman" w:cs="Times New Roman"/>
          <w:sz w:val="28"/>
          <w:szCs w:val="28"/>
          <w:lang w:eastAsia="en-US"/>
        </w:rPr>
        <w:t>выявлены нарушения на общую сумму 5 431,8 тыс. рублей, в том числе:</w:t>
      </w:r>
    </w:p>
    <w:p w:rsidR="00166604" w:rsidRPr="001A6C95" w:rsidRDefault="00166604" w:rsidP="00A63F6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A6C9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A6C95">
        <w:rPr>
          <w:rFonts w:ascii="Times New Roman" w:hAnsi="Times New Roman" w:cs="Times New Roman"/>
          <w:i/>
          <w:sz w:val="28"/>
          <w:szCs w:val="28"/>
          <w:lang w:eastAsia="en-US"/>
        </w:rPr>
        <w:t>нарушения при формировании и исполнении бюджета – 4 756,5 тыс. рублей</w:t>
      </w:r>
      <w:r w:rsidRPr="001A6C95">
        <w:rPr>
          <w:rFonts w:ascii="Times New Roman" w:hAnsi="Times New Roman" w:cs="Times New Roman"/>
          <w:sz w:val="28"/>
          <w:szCs w:val="28"/>
          <w:lang w:eastAsia="en-US"/>
        </w:rPr>
        <w:t>, из них: нарушения в сфере заработной платы и иных выплат 4,7 тыс. рублей;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нарушения ведения бухгалтерского учета, составления и представления бухгалтерской (финансовой) отчетности </w:t>
      </w:r>
      <w:r w:rsidRPr="001A6C95">
        <w:rPr>
          <w:rFonts w:ascii="Times New Roman" w:hAnsi="Times New Roman" w:cs="Times New Roman"/>
          <w:sz w:val="28"/>
          <w:szCs w:val="28"/>
          <w:lang w:eastAsia="en-US"/>
        </w:rPr>
        <w:t>– 675,3 тыс. рублей.</w:t>
      </w:r>
      <w:r w:rsidRPr="001A6C9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 xml:space="preserve">Установлены факты нарушения порядка </w:t>
      </w:r>
      <w:r w:rsidRPr="001A6C95">
        <w:rPr>
          <w:rFonts w:ascii="Times New Roman" w:hAnsi="Times New Roman" w:cs="Times New Roman"/>
          <w:sz w:val="28"/>
          <w:szCs w:val="28"/>
        </w:rPr>
        <w:t xml:space="preserve">формирования и (или) финансового обеспечения выполнения муниципального задания на оказание муниципальных услуг (выполнение работ) муниципальными учреждениями: </w:t>
      </w:r>
      <w:r w:rsidRPr="001A6C95">
        <w:rPr>
          <w:rFonts w:ascii="Times New Roman" w:hAnsi="Times New Roman" w:cs="Times New Roman"/>
          <w:sz w:val="28"/>
          <w:szCs w:val="28"/>
        </w:rPr>
        <w:lastRenderedPageBreak/>
        <w:t>допускались случаи предоставления отчетов о выполнении муниципального задания, содержащих недостоверные сведения о фактическом достижении показателей, характеризующих объем муниципальной услуги; расчет</w:t>
      </w:r>
      <w:r w:rsidRPr="001A6C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объемов субсидий с нарушением порядка финансового обеспечения выполнения муниципального задания в сумме 3 012,5 тыс. рублей, установлены 14 случаев</w:t>
      </w:r>
      <w:r w:rsidRPr="001A6C95">
        <w:rPr>
          <w:rFonts w:ascii="Times New Roman" w:hAnsi="Times New Roman" w:cs="Times New Roman"/>
          <w:sz w:val="28"/>
          <w:szCs w:val="28"/>
        </w:rPr>
        <w:t xml:space="preserve"> перечисления субсидии с нарушением графиков на общую сумму 1 739,3 тыс. рублей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Выявлено нарушение Положения об оплате труда  в части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неустановления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надбавки за ученую степень «кандидат наук» (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недоначислено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4,7 тыс. рублей).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>Проверкой установлено, что 2 объекта недвижимого имущества общей балансовой стоимостью 675,3 тыс. рублей</w:t>
      </w:r>
      <w:r w:rsidRPr="001A6C95">
        <w:rPr>
          <w:rFonts w:ascii="Times New Roman" w:hAnsi="Times New Roman" w:cs="Times New Roman"/>
          <w:sz w:val="28"/>
          <w:szCs w:val="28"/>
        </w:rPr>
        <w:t xml:space="preserve"> приняты к учету при отсутствии зарегистрированного права оперативного управления на них. </w:t>
      </w:r>
      <w:r w:rsidRPr="001A6C95">
        <w:rPr>
          <w:rFonts w:ascii="Times New Roman" w:hAnsi="Times New Roman" w:cs="Times New Roman"/>
          <w:bCs/>
          <w:sz w:val="28"/>
          <w:szCs w:val="28"/>
        </w:rPr>
        <w:t xml:space="preserve">Указанное нарушение привело к искажению показателей бухгалтерской отчетности, отраженных в Сведениях о движении нефинансовых активов (ф.0503768) по виду деятельности «субсидии на выполнение государственного (муниципального) задания». 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>По итогам проведенного контрольного мероприятия направлено два представления Контрольно-счетной палаты.</w:t>
      </w:r>
    </w:p>
    <w:p w:rsidR="00166604" w:rsidRPr="001A6C95" w:rsidRDefault="00166604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bCs/>
          <w:color w:val="000000"/>
          <w:sz w:val="28"/>
          <w:szCs w:val="28"/>
        </w:rPr>
        <w:t>В ходе контрольного мероприятия</w:t>
      </w:r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 w:rsidRPr="001A6C95">
        <w:rPr>
          <w:rFonts w:ascii="Times New Roman" w:hAnsi="Times New Roman" w:cs="Times New Roman"/>
          <w:b/>
          <w:sz w:val="28"/>
          <w:szCs w:val="28"/>
        </w:rPr>
        <w:t xml:space="preserve">Проверка использования бюджетных средств и средств родительской платы, выделенных и поступивших в 2021 году и текущем периоде 2022 года на организацию питания детей: МДОБУ «Детский сад №3 «Буратино» г. Соль-Илецка Оренбургской области», МДОАУ «Детский сад» с. </w:t>
      </w:r>
      <w:proofErr w:type="spellStart"/>
      <w:r w:rsidRPr="001A6C95">
        <w:rPr>
          <w:rFonts w:ascii="Times New Roman" w:hAnsi="Times New Roman" w:cs="Times New Roman"/>
          <w:b/>
          <w:sz w:val="28"/>
          <w:szCs w:val="28"/>
        </w:rPr>
        <w:t>Новоилецк</w:t>
      </w:r>
      <w:proofErr w:type="spellEnd"/>
      <w:r w:rsidRPr="001A6C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6C95">
        <w:rPr>
          <w:rFonts w:ascii="Times New Roman" w:hAnsi="Times New Roman" w:cs="Times New Roman"/>
          <w:b/>
          <w:sz w:val="28"/>
          <w:szCs w:val="28"/>
        </w:rPr>
        <w:t>Соль-Илецкого</w:t>
      </w:r>
      <w:proofErr w:type="spellEnd"/>
      <w:r w:rsidRPr="001A6C95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Оренбургской области»</w:t>
      </w:r>
      <w:r w:rsidRPr="001A6C95">
        <w:rPr>
          <w:rFonts w:ascii="Times New Roman" w:hAnsi="Times New Roman" w:cs="Times New Roman"/>
          <w:sz w:val="28"/>
          <w:szCs w:val="28"/>
        </w:rPr>
        <w:t xml:space="preserve"> выявлено нарушение требований, предъявляемых к оформлению и ведению регистров бухгалтерского учета,  формированию учетной политики.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>По итогам проведенного контрольного мероприятия направлено представление Контрольно-счетной палаты.</w:t>
      </w:r>
    </w:p>
    <w:p w:rsidR="00F4771C" w:rsidRDefault="00F4771C" w:rsidP="00A63F6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6604" w:rsidRPr="001A6C95" w:rsidRDefault="00166604" w:rsidP="00A63F6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 xml:space="preserve">2.2.Контрольная деятельность за расходами в сфере </w:t>
      </w:r>
      <w:r w:rsidRPr="001A6C95">
        <w:rPr>
          <w:rFonts w:ascii="Times New Roman" w:hAnsi="Times New Roman" w:cs="Times New Roman"/>
          <w:b/>
          <w:sz w:val="28"/>
          <w:szCs w:val="28"/>
          <w:lang w:eastAsia="en-US"/>
        </w:rPr>
        <w:t>физической культуры и спорта</w:t>
      </w:r>
    </w:p>
    <w:p w:rsidR="00166604" w:rsidRPr="001A6C95" w:rsidRDefault="00166604" w:rsidP="00A63F6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A6C95">
        <w:rPr>
          <w:rFonts w:ascii="Times New Roman" w:hAnsi="Times New Roman" w:cs="Times New Roman"/>
          <w:bCs/>
          <w:color w:val="000000"/>
          <w:sz w:val="28"/>
          <w:szCs w:val="28"/>
        </w:rPr>
        <w:t>В течение</w:t>
      </w:r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bCs/>
          <w:color w:val="000000"/>
          <w:sz w:val="28"/>
          <w:szCs w:val="28"/>
        </w:rPr>
        <w:t>отчетного периода</w:t>
      </w:r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1A6C95">
        <w:rPr>
          <w:rFonts w:ascii="Times New Roman" w:hAnsi="Times New Roman" w:cs="Times New Roman"/>
          <w:bCs/>
          <w:color w:val="000000"/>
          <w:sz w:val="28"/>
          <w:szCs w:val="28"/>
        </w:rPr>
        <w:t>проведено контрольное мероприятие</w:t>
      </w:r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«Проверка финансово-хозяйственной деятельности муниципального автономного учреждения «</w:t>
      </w:r>
      <w:proofErr w:type="spellStart"/>
      <w:proofErr w:type="gramStart"/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Туристско</w:t>
      </w:r>
      <w:proofErr w:type="spellEnd"/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 информационный</w:t>
      </w:r>
      <w:proofErr w:type="gramEnd"/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центр </w:t>
      </w:r>
      <w:proofErr w:type="spellStart"/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Соль-Илецкого</w:t>
      </w:r>
      <w:proofErr w:type="spellEnd"/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городского округа» за 2020-2021 год».</w:t>
      </w:r>
    </w:p>
    <w:p w:rsidR="00166604" w:rsidRPr="001A6C95" w:rsidRDefault="00166604" w:rsidP="00A63F6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A6C95">
        <w:rPr>
          <w:rFonts w:ascii="Times New Roman" w:hAnsi="Times New Roman" w:cs="Times New Roman"/>
          <w:bCs/>
          <w:color w:val="000000"/>
          <w:sz w:val="28"/>
          <w:szCs w:val="28"/>
        </w:rPr>
        <w:t>В ходе контрольного мероприятия выявлены следующие основные нарушения и недостатки:</w:t>
      </w: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1A6C95">
        <w:rPr>
          <w:rFonts w:ascii="Times New Roman" w:hAnsi="Times New Roman" w:cs="Times New Roman"/>
          <w:bCs/>
          <w:sz w:val="28"/>
          <w:szCs w:val="28"/>
        </w:rPr>
        <w:t xml:space="preserve">нарушение порядка </w:t>
      </w:r>
      <w:r w:rsidRPr="001A6C95">
        <w:rPr>
          <w:rFonts w:ascii="Times New Roman" w:hAnsi="Times New Roman" w:cs="Times New Roman"/>
          <w:sz w:val="28"/>
          <w:szCs w:val="28"/>
        </w:rPr>
        <w:t xml:space="preserve">формирования и (или) финансового обеспечения выполнения муниципального задания на оказание муниципальных услуг (выполнение работ) муниципальными учреждениями: форма ежемесячных </w:t>
      </w:r>
      <w:r w:rsidRPr="001A6C95">
        <w:rPr>
          <w:rFonts w:ascii="Times New Roman" w:hAnsi="Times New Roman" w:cs="Times New Roman"/>
          <w:sz w:val="28"/>
          <w:szCs w:val="28"/>
        </w:rPr>
        <w:lastRenderedPageBreak/>
        <w:t>отчетов о выполнении муниципального задания за 2021 год не соответствует установленной форме, информация о показателях, отраженная в отчетах, не соответствует показателям, утвержденным в муниципальном задании (категория потребителей работы; наименование, единица измерения, значение показателя качества работы);</w:t>
      </w:r>
      <w:proofErr w:type="gramEnd"/>
    </w:p>
    <w:p w:rsidR="00166604" w:rsidRPr="001A6C95" w:rsidRDefault="00166604" w:rsidP="00A63F6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нарушения порядка формирования и исполнения плана финансово-хозяйственной деятельности муниципальным бюджетным (автономным) учреждением;</w:t>
      </w:r>
    </w:p>
    <w:p w:rsidR="00166604" w:rsidRPr="001A6C95" w:rsidRDefault="00166604" w:rsidP="00A63F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нарушения порядка отнесения имущества автономного или бюджетного учреждения к категории особо ценного движимого имущества:</w:t>
      </w:r>
      <w:r w:rsidRPr="001A6C95">
        <w:rPr>
          <w:rFonts w:ascii="Times New Roman" w:hAnsi="Times New Roman" w:cs="Times New Roman"/>
          <w:bCs/>
          <w:sz w:val="28"/>
          <w:szCs w:val="28"/>
        </w:rPr>
        <w:t>2 объекта основных сре</w:t>
      </w:r>
      <w:proofErr w:type="gramStart"/>
      <w:r w:rsidRPr="001A6C95">
        <w:rPr>
          <w:rFonts w:ascii="Times New Roman" w:hAnsi="Times New Roman" w:cs="Times New Roman"/>
          <w:bCs/>
          <w:sz w:val="28"/>
          <w:szCs w:val="28"/>
        </w:rPr>
        <w:t>дств ст</w:t>
      </w:r>
      <w:proofErr w:type="gramEnd"/>
      <w:r w:rsidRPr="001A6C95">
        <w:rPr>
          <w:rFonts w:ascii="Times New Roman" w:hAnsi="Times New Roman" w:cs="Times New Roman"/>
          <w:bCs/>
          <w:sz w:val="28"/>
          <w:szCs w:val="28"/>
        </w:rPr>
        <w:t>оимостью более 50 000,00 рубля не отнесены к категории особо ценного движимого имущества;</w:t>
      </w:r>
    </w:p>
    <w:p w:rsidR="00166604" w:rsidRPr="001A6C95" w:rsidRDefault="00166604" w:rsidP="00A63F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A6C95">
        <w:rPr>
          <w:rFonts w:ascii="Times New Roman" w:hAnsi="Times New Roman" w:cs="Times New Roman"/>
          <w:bCs/>
          <w:sz w:val="28"/>
          <w:szCs w:val="28"/>
        </w:rPr>
        <w:t>несоблюдение правообладателем порядка предоставления сведений для внесения в реестр муниципального имущества, исключения из реестра муниципального имущества: выявлены расхождения сведений об объектах учета, отраженных в реестре, с данными бухгалтерского учета, информация о 62 объектах движимого имущества включена в реестр, с нарушением условий для включения (балансовая стоимость не превышает 50 тыс. рублей), по 22 объектам движимого имущества данные о балансовой стоимости отсутствует;</w:t>
      </w:r>
      <w:proofErr w:type="gramEnd"/>
    </w:p>
    <w:p w:rsidR="00166604" w:rsidRPr="001A6C95" w:rsidRDefault="00166604" w:rsidP="00A63F6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 установлен факт избыточных расходов в сумме 99,9 тыс. рублей источником, которых являются  собственные доходы учреждения;</w:t>
      </w:r>
    </w:p>
    <w:p w:rsidR="00166604" w:rsidRPr="001A6C95" w:rsidRDefault="00166604" w:rsidP="00A63F6A">
      <w:pPr>
        <w:spacing w:after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  <w:lang w:eastAsia="en-US"/>
        </w:rPr>
        <w:t>нарушения в сфере заработной платы и иных выплат: в</w:t>
      </w:r>
      <w:r w:rsidRPr="001A6C95">
        <w:rPr>
          <w:rFonts w:ascii="Times New Roman" w:hAnsi="Times New Roman" w:cs="Times New Roman"/>
          <w:sz w:val="28"/>
          <w:szCs w:val="28"/>
        </w:rPr>
        <w:t xml:space="preserve"> нарушение Положения об оплате и стимулировании труда работникам учреждения устанавливались и выплачивались надбавки  к должностному окладу на период испытательного срока, общая сумма выплат составила 61,1 тыс. рублей, выплата материальной помощи при условии отсутствия документального подтверждения права ее получения.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>По итогам проведенного контрольного мероприятия направлено представление Контрольно-счетной палаты.</w:t>
      </w:r>
    </w:p>
    <w:p w:rsidR="00166604" w:rsidRPr="001A6C95" w:rsidRDefault="00166604" w:rsidP="00A63F6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6604" w:rsidRPr="001A6C95" w:rsidRDefault="00166604" w:rsidP="00A63F6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 xml:space="preserve">2.3. Контрольная деятельность за расходами в рамках реализации 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 xml:space="preserve"> приоритетного проекта Оренбургской области</w:t>
      </w:r>
    </w:p>
    <w:p w:rsidR="00166604" w:rsidRPr="001A6C95" w:rsidRDefault="00166604" w:rsidP="00A63F6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Cs/>
          <w:color w:val="000000"/>
          <w:sz w:val="28"/>
          <w:szCs w:val="28"/>
        </w:rPr>
        <w:tab/>
        <w:t>В течение</w:t>
      </w:r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bCs/>
          <w:color w:val="000000"/>
          <w:sz w:val="28"/>
          <w:szCs w:val="28"/>
        </w:rPr>
        <w:t>года</w:t>
      </w:r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bCs/>
          <w:color w:val="000000"/>
          <w:sz w:val="28"/>
          <w:szCs w:val="28"/>
        </w:rPr>
        <w:t>проведено контрольное мероприятие</w:t>
      </w:r>
      <w:r w:rsidRPr="001A6C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 w:rsidRPr="001A6C95">
        <w:rPr>
          <w:rFonts w:ascii="Times New Roman" w:hAnsi="Times New Roman" w:cs="Times New Roman"/>
          <w:b/>
          <w:sz w:val="28"/>
          <w:szCs w:val="28"/>
        </w:rPr>
        <w:t>Проверка использования средств, выделенных в 2020 и 2021 годы в рамках реализации приоритетного проекта Оренбургской области «Вовлечение жителей муниципальных образований Оренбургской области в процесс выбора и реализации проектов развития общественной инфраструктуры, основанных на местных инициативах»».</w:t>
      </w:r>
    </w:p>
    <w:p w:rsidR="00166604" w:rsidRPr="001A6C95" w:rsidRDefault="00166604" w:rsidP="00A63F6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городского округа в 2020 году реализованы – 4 инициативных проекта общей стоимостью 2 376, 4 тыс. рублей, в 2021 году – 10 проектов общей стоимостью 7 940,6 тыс. рублей. </w:t>
      </w: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Выявленные по результатам контрольного мероприятия нарушения условий договоров по оплате за выполненные работы (по 11 объектам) связаны с причинами  независящими от объектов контроля.</w:t>
      </w:r>
    </w:p>
    <w:p w:rsidR="00166604" w:rsidRPr="001A6C95" w:rsidRDefault="00166604" w:rsidP="00A63F6A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>3.</w:t>
      </w:r>
      <w:r w:rsidRPr="001A6C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Внешняя проверка годового отчета об исполнении бюджета городского округа за 2021 год</w:t>
      </w:r>
    </w:p>
    <w:p w:rsidR="00166604" w:rsidRPr="001A6C95" w:rsidRDefault="00166604" w:rsidP="00A63F6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 xml:space="preserve">3.1. Внешняя проверка бюджетной отчетности </w:t>
      </w:r>
      <w:proofErr w:type="gramStart"/>
      <w:r w:rsidRPr="001A6C95">
        <w:rPr>
          <w:rFonts w:ascii="Times New Roman" w:hAnsi="Times New Roman" w:cs="Times New Roman"/>
          <w:b/>
          <w:sz w:val="28"/>
          <w:szCs w:val="28"/>
        </w:rPr>
        <w:t>главных</w:t>
      </w:r>
      <w:proofErr w:type="gramEnd"/>
      <w:r w:rsidRPr="001A6C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6604" w:rsidRPr="001A6C95" w:rsidRDefault="00166604" w:rsidP="00A63F6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>администраторов бюджетных средств за 2021 год</w:t>
      </w:r>
    </w:p>
    <w:p w:rsidR="00166604" w:rsidRPr="001A6C95" w:rsidRDefault="00166604" w:rsidP="00A63F6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66604" w:rsidRPr="001A6C95" w:rsidRDefault="00166604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На основании статьи 264.4 Бюджетного кодекса РФ в соответствии с планом работы на 2022 год Контрольно-счетной палатой проведена внешняя проверка бюджетной отчетности за 2021 год главных администраторов средств бюджета городского округа (далее – ГАБС, главные администраторы), по результатам которой оформлено 6 актов. Сводная информация о результатах проведенного мероприятия нашла свое отражение в виде самостоятельного раздела в заключении о результатах проверки годового отчета об исполнении бюджета городского округа за 2021 год. </w:t>
      </w:r>
    </w:p>
    <w:p w:rsidR="00166604" w:rsidRPr="001A6C95" w:rsidRDefault="00166604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В ходе внешней проверки бюджетной отчетности главных администраторов за 2021 год Контрольно-счетной палатой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городского округа выявлены следующие нарушения и недостатки:</w:t>
      </w: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наличие фактов внутренней несогласованности форм бюджетной отчетности – 1 ГАБС;</w:t>
      </w:r>
    </w:p>
    <w:p w:rsidR="00166604" w:rsidRPr="001A6C95" w:rsidRDefault="00166604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наличие фактов оформления бюджетной отчетности с нарушением требований Инструкции №191н, федеральных стандартов бухгалтерского учета государственных финансов и писем Министерства финансов Оренбургской области:</w:t>
      </w:r>
    </w:p>
    <w:p w:rsidR="00166604" w:rsidRPr="001A6C95" w:rsidRDefault="00166604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ненадлежащее оформление или неполное отражение данных в бюджетной отчетности (в том числе недостатки технического характера) – 4 ГАБС, несоответствие бюджетной отчетности требованиям федеральных стандартов бухгалтерского учета для учреждений государственного сектора – 2 ГАБС;</w:t>
      </w:r>
    </w:p>
    <w:p w:rsidR="00166604" w:rsidRPr="001A6C95" w:rsidRDefault="00166604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несоответствие представленных форм отчетности формам, предусмотренным Инструкцией №191н – 2 ГАБС.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Акты о результатах внешней проверки годовой бюджетной отчетности ГАБС направлены субъектам бюджетной отчетности. Преимущественно все нарушения устранены в период проведения мероприятия.</w:t>
      </w:r>
    </w:p>
    <w:p w:rsidR="00166604" w:rsidRPr="001A6C95" w:rsidRDefault="00166604" w:rsidP="00A63F6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3.2. Экспертиза годового отчета об исполнении бюджета </w:t>
      </w:r>
    </w:p>
    <w:p w:rsidR="00166604" w:rsidRPr="001A6C95" w:rsidRDefault="00166604" w:rsidP="00A63F6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>городского округа за 2021 год</w:t>
      </w:r>
    </w:p>
    <w:p w:rsidR="00166604" w:rsidRPr="001A6C95" w:rsidRDefault="00166604" w:rsidP="00A63F6A">
      <w:pPr>
        <w:widowControl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sz w:val="28"/>
          <w:szCs w:val="28"/>
          <w:lang w:eastAsia="ar-SA"/>
        </w:rPr>
        <w:tab/>
      </w:r>
      <w:proofErr w:type="gramStart"/>
      <w:r w:rsidRPr="001A6C95">
        <w:rPr>
          <w:rFonts w:ascii="Times New Roman" w:hAnsi="Times New Roman" w:cs="Times New Roman"/>
          <w:sz w:val="28"/>
          <w:szCs w:val="28"/>
          <w:lang w:eastAsia="ar-SA"/>
        </w:rPr>
        <w:t xml:space="preserve">Подготовка заключения на годовой отчет об исполнении бюджета городского округа за 2021 год, осуществляемая Контрольно-счетной палатой на основании статьи 264.4 Бюджетного кодекса Российской Федерации, </w:t>
      </w:r>
      <w:r w:rsidRPr="001A6C95">
        <w:rPr>
          <w:rFonts w:ascii="Times New Roman" w:hAnsi="Times New Roman" w:cs="Times New Roman"/>
          <w:sz w:val="28"/>
          <w:szCs w:val="28"/>
        </w:rPr>
        <w:t xml:space="preserve">проведена в соответствии со статьей 47 Положения о бюджетном процессе в муниципальном образовании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округ, утвержденного решением Совета депутатов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от 22.06.2020 № 866 (далее - Положение о бюджетном процессе), плана работы Контрольно-счетной</w:t>
      </w:r>
      <w:proofErr w:type="gramEnd"/>
      <w:r w:rsidRPr="001A6C95">
        <w:rPr>
          <w:rFonts w:ascii="Times New Roman" w:hAnsi="Times New Roman" w:cs="Times New Roman"/>
          <w:sz w:val="28"/>
          <w:szCs w:val="28"/>
        </w:rPr>
        <w:t xml:space="preserve"> палаты на 2022 год. </w:t>
      </w:r>
    </w:p>
    <w:p w:rsidR="00166604" w:rsidRPr="001A6C95" w:rsidRDefault="00166604" w:rsidP="00A63F6A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ar-SA"/>
        </w:rPr>
      </w:pPr>
      <w:r w:rsidRPr="001A6C95">
        <w:rPr>
          <w:rFonts w:ascii="Times New Roman" w:hAnsi="Times New Roman" w:cs="Times New Roman"/>
          <w:sz w:val="28"/>
          <w:szCs w:val="28"/>
          <w:lang w:eastAsia="ar-SA"/>
        </w:rPr>
        <w:t>Годовой отчет об исполнении бюджета городского округа представлен в Контрольно-счетную палату в полном объеме и в установленный срок. По данным годового отчета исполнение бюджета городского округа в 2021 году характеризуется следующими показателями.</w:t>
      </w:r>
    </w:p>
    <w:p w:rsidR="00166604" w:rsidRPr="001A6C95" w:rsidRDefault="00166604" w:rsidP="00A63F6A">
      <w:pPr>
        <w:pStyle w:val="af0"/>
        <w:spacing w:after="0"/>
        <w:ind w:firstLine="709"/>
        <w:jc w:val="both"/>
        <w:rPr>
          <w:sz w:val="28"/>
          <w:szCs w:val="28"/>
        </w:rPr>
      </w:pPr>
      <w:r w:rsidRPr="001A6C95">
        <w:rPr>
          <w:sz w:val="28"/>
          <w:szCs w:val="28"/>
          <w:lang w:eastAsia="ar-SA"/>
        </w:rPr>
        <w:t xml:space="preserve">Бюджет городского округа по доходам исполнен в объеме 1 729 422,2 тыс. рублей, </w:t>
      </w:r>
      <w:r w:rsidRPr="001A6C95">
        <w:rPr>
          <w:sz w:val="28"/>
          <w:szCs w:val="28"/>
        </w:rPr>
        <w:t xml:space="preserve">что составляет 88% к годовым бюджетным назначениям. В структуре поступивших доходов налоговые и неналоговые поступления занимают 27,4%, на долю безвозмездных поступлений приходится 72,6% общего объема доходов. 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Доходы бюджета городского округа в виде налоговых и неналоговых поступлений сложились в объеме 473 370,3 тыс. рублей, или 101,6% от годовых бюджетных назначений. Исполнение по безвозмездным поступлениям составило 1 256 051,9</w:t>
      </w:r>
      <w:r w:rsidRPr="001A6C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sz w:val="28"/>
          <w:szCs w:val="28"/>
        </w:rPr>
        <w:t>тыс. рублей (83,7%).</w:t>
      </w:r>
    </w:p>
    <w:p w:rsidR="00166604" w:rsidRPr="001A6C95" w:rsidRDefault="00166604" w:rsidP="00A63F6A">
      <w:pPr>
        <w:pStyle w:val="aa"/>
        <w:ind w:firstLine="709"/>
        <w:jc w:val="both"/>
        <w:rPr>
          <w:b w:val="0"/>
          <w:bCs/>
          <w:color w:val="222222"/>
          <w:szCs w:val="28"/>
        </w:rPr>
      </w:pPr>
      <w:r w:rsidRPr="001A6C95">
        <w:rPr>
          <w:b w:val="0"/>
          <w:szCs w:val="28"/>
          <w:lang w:eastAsia="ar-SA"/>
        </w:rPr>
        <w:t>Бюджет городского округа по расходам исполнен в объеме 1 592 471,0 тыс. рублей, что составляет 80,9% от утвержденных бюджетных ассигнований</w:t>
      </w:r>
      <w:r w:rsidRPr="001A6C95">
        <w:rPr>
          <w:szCs w:val="28"/>
          <w:lang w:eastAsia="ar-SA"/>
        </w:rPr>
        <w:t>.</w:t>
      </w:r>
      <w:r w:rsidRPr="001A6C95">
        <w:rPr>
          <w:szCs w:val="28"/>
        </w:rPr>
        <w:t xml:space="preserve"> </w:t>
      </w:r>
      <w:r w:rsidRPr="001A6C95">
        <w:rPr>
          <w:b w:val="0"/>
          <w:bCs/>
          <w:color w:val="222222"/>
          <w:szCs w:val="28"/>
        </w:rPr>
        <w:t xml:space="preserve">Более 99% расходов бюджета городского округа исполнялось в рамках 27 муниципальных программ. </w:t>
      </w:r>
    </w:p>
    <w:p w:rsidR="00166604" w:rsidRPr="001A6C95" w:rsidRDefault="00166604" w:rsidP="00A63F6A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В структуре произведенных в отчетном периоде расходов бюджета городского округа наибольший удельный вес приходится на расходы по разделам 0700 «Образование» – 52,4%, 0500 «Жилищно-коммунальное хозяйство» -14,6% , 0800 «Культура, кинематография» - 7,8%.</w:t>
      </w:r>
      <w:r w:rsidRPr="001A6C95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1A6C95">
        <w:rPr>
          <w:rFonts w:ascii="Times New Roman" w:hAnsi="Times New Roman" w:cs="Times New Roman"/>
          <w:sz w:val="28"/>
          <w:szCs w:val="28"/>
        </w:rPr>
        <w:t xml:space="preserve">Большая часть ассигнований предусмотрена управлению образования администрации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городского округа(52,9%), и администрации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городского округа (37,1%).</w:t>
      </w:r>
    </w:p>
    <w:p w:rsidR="00166604" w:rsidRPr="001A6C95" w:rsidRDefault="00166604" w:rsidP="00A63F6A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1A6C95">
        <w:rPr>
          <w:rFonts w:ascii="Times New Roman" w:hAnsi="Times New Roman" w:cs="Times New Roman"/>
          <w:color w:val="222222"/>
          <w:sz w:val="28"/>
          <w:szCs w:val="28"/>
        </w:rPr>
        <w:t xml:space="preserve">         В 2021 году бюджет городского округа исполнен с дефицитом в размере 136 951,2 тыс. рублей. Источником финансирования дефицита бюджета стало изменение остатков средств на счетах по учету средств бюджета.</w:t>
      </w:r>
    </w:p>
    <w:p w:rsidR="00166604" w:rsidRPr="001A6C95" w:rsidRDefault="00166604" w:rsidP="00A63F6A">
      <w:pPr>
        <w:pStyle w:val="af0"/>
        <w:widowControl w:val="0"/>
        <w:tabs>
          <w:tab w:val="left" w:pos="0"/>
        </w:tabs>
        <w:jc w:val="both"/>
        <w:rPr>
          <w:sz w:val="28"/>
          <w:szCs w:val="28"/>
        </w:rPr>
      </w:pPr>
      <w:r w:rsidRPr="001A6C95">
        <w:rPr>
          <w:bCs/>
          <w:color w:val="222222"/>
          <w:sz w:val="28"/>
          <w:szCs w:val="28"/>
        </w:rPr>
        <w:tab/>
        <w:t xml:space="preserve">По итогам внешней проверки </w:t>
      </w:r>
      <w:r w:rsidRPr="001A6C95">
        <w:rPr>
          <w:color w:val="000000"/>
          <w:sz w:val="28"/>
          <w:szCs w:val="28"/>
          <w:lang w:eastAsia="ar-SA"/>
        </w:rPr>
        <w:t>отчета за 2021 год Контрольно-с</w:t>
      </w:r>
      <w:r w:rsidRPr="001A6C95">
        <w:rPr>
          <w:bCs/>
          <w:color w:val="222222"/>
          <w:sz w:val="28"/>
          <w:szCs w:val="28"/>
        </w:rPr>
        <w:t>четной палатой сделан вывод,</w:t>
      </w:r>
      <w:r w:rsidRPr="001A6C95">
        <w:rPr>
          <w:sz w:val="28"/>
          <w:szCs w:val="28"/>
        </w:rPr>
        <w:t xml:space="preserve"> что в целом показатели годового отчета об </w:t>
      </w:r>
      <w:r w:rsidRPr="001A6C95">
        <w:rPr>
          <w:sz w:val="28"/>
          <w:szCs w:val="28"/>
        </w:rPr>
        <w:lastRenderedPageBreak/>
        <w:t xml:space="preserve">исполнении бюджета городского округа соответствуют показателям исполнения бюджета, установленным в ходе внешней проверки бюджетной отчетности главных администраторов бюджетных средств. </w:t>
      </w:r>
    </w:p>
    <w:p w:rsidR="00166604" w:rsidRPr="001A6C95" w:rsidRDefault="00166604" w:rsidP="00A63F6A">
      <w:pPr>
        <w:pStyle w:val="af0"/>
        <w:widowControl w:val="0"/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166604" w:rsidRPr="001A6C95" w:rsidRDefault="00166604" w:rsidP="00A63F6A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>4. Экспертно-аналитическая деятельность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</w:r>
      <w:r w:rsidRPr="001A6C95">
        <w:rPr>
          <w:rFonts w:ascii="Times New Roman" w:hAnsi="Times New Roman" w:cs="Times New Roman"/>
          <w:sz w:val="28"/>
          <w:szCs w:val="28"/>
        </w:rPr>
        <w:tab/>
        <w:t>В 2022 году Контрольно-счетной палатой проведено 11 экспертно-аналитических мероприятий, по результатам которых подготовлены  заключения. В отчетном периоде ежеквартально проводился анализ исполнения бюджета городского округа. Заключения по результатам проведенных экспертно-аналитических мероприятий направлялись в Совет депутатов и Главе муниципального образования.</w:t>
      </w:r>
    </w:p>
    <w:p w:rsidR="00166604" w:rsidRPr="001A6C95" w:rsidRDefault="00166604" w:rsidP="00A63F6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>4.1. Экспертиза проекта решения о бюджете городского округа</w:t>
      </w:r>
    </w:p>
    <w:p w:rsidR="00166604" w:rsidRPr="001A6C95" w:rsidRDefault="00166604" w:rsidP="00A63F6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 xml:space="preserve"> на 2023 год </w:t>
      </w:r>
    </w:p>
    <w:p w:rsidR="00166604" w:rsidRPr="001A6C95" w:rsidRDefault="00166604" w:rsidP="00A63F6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>и на плановый период 2024</w:t>
      </w:r>
      <w:r w:rsidRPr="001A6C95">
        <w:rPr>
          <w:rFonts w:ascii="Times New Roman" w:hAnsi="Times New Roman" w:cs="Times New Roman"/>
          <w:sz w:val="28"/>
          <w:szCs w:val="28"/>
        </w:rPr>
        <w:t>–</w:t>
      </w:r>
      <w:r w:rsidRPr="001A6C95">
        <w:rPr>
          <w:rFonts w:ascii="Times New Roman" w:hAnsi="Times New Roman" w:cs="Times New Roman"/>
          <w:b/>
          <w:sz w:val="28"/>
          <w:szCs w:val="28"/>
        </w:rPr>
        <w:t>2025 годов</w:t>
      </w: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 xml:space="preserve">В соответствии с требованиями бюджетного законодательства Контрольно-счетной палатой проведена экспертиза проекта решении Совета депутатов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«О бюджете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на 2023 год и на плановый период 2024 и 2025 годов» (далее - проект решения).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 xml:space="preserve">В ходе экспертизы Контрольно-счетной палатой проанализированы основные положения проекта решения (текстовые статьи, приложения), а также представленные одновременно с ним документы. 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Состав документов и материалов, представленных одновременно с Проектом решения, соответствует требованиям статьи 184.2 Бюджетного кодекса РФ и части 4 статьи 27 Положения о бюджетном процессе.</w:t>
      </w: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Контрольно-счетной палатой проведен анализ изменений налогового законодательства, которые повлияют на объем и динамику прогнозируемых налоговых доходов бюджета городского округа:</w:t>
      </w: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освобождение от налогообложения выплаты выходного пособия, среднемесячного заработка на период трудоустройства, а также любые иные компенсационные выплаты при увольнении работника, предусмотренные законодательством с 1 января 2023 года;</w:t>
      </w: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распространение права на социальный налоговый вычет на оплату медицинских услуг, оказанных детям (подопечным), признанным судом недееспособными, без ограничения по возрасту с 1 января 2023 года;</w:t>
      </w: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прекращение с 1 января 2023 года права применения упрощенной и патентной системы налогообложения организациями и индивидуальными предпринимателями осуществляющими производство ювелирных и других изделий из драгоценных металлов или оптовую (розничную) торговлю ювелирными и другими изделиями из драгоценных металлов; </w:t>
      </w: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A6C95">
        <w:rPr>
          <w:rFonts w:ascii="Times New Roman" w:hAnsi="Times New Roman" w:cs="Times New Roman"/>
          <w:sz w:val="28"/>
          <w:szCs w:val="28"/>
        </w:rPr>
        <w:t>расчет земельного налога за 2023 год исходя из кадастровой стоимости земельного участка из Единого государственного реестра недвижимости, применяемой с 1 января 2022 года, в случае если кадастровая стоимость земельного участка, внесенная в Единый государственный реестр недвижимости и подлежащая применению с 1 января 2023 года превышает показатель, сложившийся по состоянию на 1 января 2022 года (за исключением, если кадастровая стоимость земельного</w:t>
      </w:r>
      <w:proofErr w:type="gramEnd"/>
      <w:r w:rsidRPr="001A6C95">
        <w:rPr>
          <w:rFonts w:ascii="Times New Roman" w:hAnsi="Times New Roman" w:cs="Times New Roman"/>
          <w:sz w:val="28"/>
          <w:szCs w:val="28"/>
        </w:rPr>
        <w:t xml:space="preserve"> участка увеличилась из-за изменения его характеристик);</w:t>
      </w: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внедрение института единого налогового счета, который будет предусматривать консолидацию всех обязанностей плательщика по уплате обязательных платежей, регулируемых Налоговым кодексом Российской Федерации, в едином сальдо расчетов с бюджетами бюджетной системы Российской Федерации с их погашением из «налогового кошелька», функционирующего в виде именного авансового счета, пополняемого плательщиком.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Проектом закона Оренбургской области «О внесении изменений в закон Оренбургской области «О межбюджетных отношениях в Оренбургской области» и приостановлении действия его отдельных положений» от 09.11.2022 №222/5806-22  предусмотрены следующие изменения с 1 января 2023 года:</w:t>
      </w: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передача из областного бюджета дополнительно 1 процента налога на доходы физических лиц, за исключением сумм налога, относящихся к части налоговой базы, превышающей 5,0 млн. рублей, и налога уплачиваемого иностранными гражданами, осуществляющими трудовую деятельность по найму на основании патента.</w:t>
      </w:r>
    </w:p>
    <w:p w:rsidR="00166604" w:rsidRPr="001A6C95" w:rsidRDefault="00166604" w:rsidP="00A63F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Прогнозируемые объемы налоговых  и неналоговых поступлений в бюджет городского округа на 2023 год и на плановый период определены на основании сведений, представленных главными администраторами (администраторами) доходов.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Расходная часть бюджета городского округа на 2023–2025 годы сформирована в программной структуре</w:t>
      </w:r>
      <w:r w:rsidRPr="001A6C95">
        <w:rPr>
          <w:rFonts w:ascii="Times New Roman" w:hAnsi="Times New Roman" w:cs="Times New Roman"/>
          <w:bCs/>
          <w:sz w:val="28"/>
          <w:szCs w:val="28"/>
        </w:rPr>
        <w:t>. Начиная с</w:t>
      </w:r>
      <w:r w:rsidRPr="001A6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2023 года, средства бюджета городского округа будут осваиваться в рамках 24 муниципальных программ. В составе документов к Проекту решения представлено 24 проекта паспортов </w:t>
      </w:r>
      <w:r w:rsidRPr="001A6C95">
        <w:rPr>
          <w:rFonts w:ascii="Times New Roman" w:hAnsi="Times New Roman" w:cs="Times New Roman"/>
          <w:sz w:val="28"/>
          <w:szCs w:val="28"/>
        </w:rPr>
        <w:t xml:space="preserve">муниципальных программ. Показатели бюджетных ассигнований на 2023–2025 годы, предусмотренные 23 проектами  паспортов, соответствуют расходам, предусмотренным в Проекте решения по </w:t>
      </w:r>
      <w:r w:rsidRPr="001A6C95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соответствующим муниципальным программам, по общей сумме расходов. </w:t>
      </w:r>
    </w:p>
    <w:p w:rsidR="00166604" w:rsidRPr="001A6C95" w:rsidRDefault="00166604" w:rsidP="00A63F6A">
      <w:pPr>
        <w:pStyle w:val="ae"/>
        <w:spacing w:after="0"/>
        <w:ind w:left="0" w:hanging="283"/>
        <w:jc w:val="both"/>
        <w:rPr>
          <w:sz w:val="28"/>
          <w:szCs w:val="28"/>
        </w:rPr>
      </w:pPr>
      <w:r w:rsidRPr="001A6C95">
        <w:rPr>
          <w:sz w:val="28"/>
          <w:szCs w:val="28"/>
        </w:rPr>
        <w:tab/>
      </w:r>
      <w:r w:rsidRPr="001A6C95">
        <w:rPr>
          <w:sz w:val="28"/>
          <w:szCs w:val="28"/>
        </w:rPr>
        <w:tab/>
        <w:t>Проектом решения предусматривается, что бюджет городского округа на 2023 год и на плановый период 2024 и 2025 годов  - бездефицитный.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sz w:val="28"/>
          <w:szCs w:val="28"/>
        </w:rPr>
        <w:tab/>
      </w:r>
      <w:r w:rsidRPr="001A6C95">
        <w:rPr>
          <w:rFonts w:ascii="Times New Roman" w:hAnsi="Times New Roman" w:cs="Times New Roman"/>
          <w:color w:val="000000"/>
          <w:sz w:val="28"/>
          <w:szCs w:val="28"/>
        </w:rPr>
        <w:t xml:space="preserve">Основной вывод Контрольно-счетной палаты по итогам проведенного экспертно-аналитического мероприятия: </w:t>
      </w:r>
      <w:r w:rsidRPr="001A6C95">
        <w:rPr>
          <w:rFonts w:ascii="Times New Roman" w:hAnsi="Times New Roman" w:cs="Times New Roman"/>
          <w:sz w:val="28"/>
          <w:szCs w:val="28"/>
        </w:rPr>
        <w:t xml:space="preserve">Проект бюджета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на 2023 год и на плановый период 2024 и 2025 годов сформирован бездефицитный. Содержание проекта решения соответствует требованиям бюджетного законодательства. Принцип сбалансированности соблюден. Результаты проведенного анализа проекта решения и документов, составляющих основу формирования бюджета городского округа, дают основание для принятия проекта решения.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color w:val="000000"/>
          <w:sz w:val="28"/>
          <w:szCs w:val="28"/>
        </w:rPr>
        <w:tab/>
        <w:t>4</w:t>
      </w:r>
      <w:r w:rsidRPr="001A6C95">
        <w:rPr>
          <w:rFonts w:ascii="Times New Roman" w:hAnsi="Times New Roman" w:cs="Times New Roman"/>
          <w:b/>
          <w:color w:val="000000"/>
          <w:sz w:val="28"/>
          <w:szCs w:val="28"/>
        </w:rPr>
        <w:t>.2. Экспертиза вносимых изменений в решение Совета депутатов о бюджете городского округа на 2022 год и на плановый период 2023 и 2024 годов.</w:t>
      </w:r>
      <w:r w:rsidRPr="001A6C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Основной задачей проводимой в 2022 году финансовой экспертизы вносимых изменений в решение о бюджете городского округа, являлось установление соответствия проекта решения действующему законодательству и определение обоснованности вносимых изменений в бюджет городского округа.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>Контрольно - счетной палатой в 2022 году подготовлено 3 заключения на проекты решений Совета депутатов о внесении изменений в бюджет городского округа на 2022 год и на плановый период 2023 и 2024 годов.</w:t>
      </w:r>
    </w:p>
    <w:p w:rsidR="00F4771C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</w:r>
    </w:p>
    <w:p w:rsidR="00166604" w:rsidRPr="001A6C95" w:rsidRDefault="00166604" w:rsidP="00A63F6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>5. Методологическая работа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ab/>
        <w:t>Решение задачи методологического обеспечения деятельности  Контрольно-счетной палаты в 2022 году осуществлялось путем разработки  стандартов. Перечень стандартов Контрольно-счетной палаты пополнился следующими</w:t>
      </w:r>
      <w:r w:rsidRPr="001A6C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вновь разработанными стандартами: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 xml:space="preserve">стандарт внешнего муниципального финансового контроля «Оперативный контроль исполнения бюджета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области»;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стандарт организации деятельности «Планирование работы Контрольно-счетной палаты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области».</w:t>
      </w:r>
    </w:p>
    <w:p w:rsidR="00166604" w:rsidRPr="001A6C95" w:rsidRDefault="00166604" w:rsidP="00A63F6A">
      <w:pPr>
        <w:widowControl w:val="0"/>
        <w:spacing w:after="2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ab/>
        <w:t xml:space="preserve">В целях профилактики коррупционных и иных правонарушений особое внимание Контрольно-счетной палатой уделяется подготовке и актуализации методических материалов по вопросам противодействия коррупции, соблюдения муниципальными служащими запретов, ограничений, </w:t>
      </w:r>
      <w:r w:rsidRPr="001A6C9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требований к служебному поведению. </w:t>
      </w:r>
    </w:p>
    <w:p w:rsidR="00166604" w:rsidRPr="001A6C95" w:rsidRDefault="00166604" w:rsidP="00A63F6A">
      <w:pPr>
        <w:widowControl w:val="0"/>
        <w:spacing w:after="2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ab/>
        <w:t xml:space="preserve">В 2022 году Контрольно-счетной палатой разработан новый Порядок представления гражданами, претендующими на замещение должностей муниципальной службы, и муниципальными служащими Контрольно-счетной палаты муниципального образования </w:t>
      </w:r>
      <w:proofErr w:type="spellStart"/>
      <w:r w:rsidRPr="001A6C95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bCs/>
          <w:sz w:val="28"/>
          <w:szCs w:val="28"/>
        </w:rPr>
        <w:t xml:space="preserve"> городской округ Оренбургской области сведений о доходах, об имуществе и обязательствах имущественного характера с учетом того, что должность председателя Контрольно-счетной палаты отнесена к муниципальной должности.</w:t>
      </w:r>
    </w:p>
    <w:p w:rsidR="00166604" w:rsidRPr="001A6C95" w:rsidRDefault="00166604" w:rsidP="00A63F6A">
      <w:pPr>
        <w:widowControl w:val="0"/>
        <w:spacing w:after="2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1A6C95">
        <w:rPr>
          <w:rFonts w:ascii="Times New Roman" w:hAnsi="Times New Roman" w:cs="Times New Roman"/>
          <w:bCs/>
          <w:sz w:val="28"/>
          <w:szCs w:val="28"/>
        </w:rPr>
        <w:t xml:space="preserve">Руководствуясь решением Совета депутатов муниципального образования  </w:t>
      </w:r>
      <w:proofErr w:type="spellStart"/>
      <w:r w:rsidRPr="001A6C95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bCs/>
          <w:sz w:val="28"/>
          <w:szCs w:val="28"/>
        </w:rPr>
        <w:t xml:space="preserve"> городской округ от 25.05.2022 №189 «О комиссиях по соблюдению требований к служебному поведению муниципальных служащих органов местного самоуправления муниципального образования </w:t>
      </w:r>
      <w:proofErr w:type="spellStart"/>
      <w:r w:rsidRPr="001A6C95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bCs/>
          <w:sz w:val="28"/>
          <w:szCs w:val="28"/>
        </w:rPr>
        <w:t xml:space="preserve"> городской округ Оренбургской области и урегулированию конфликта интересов» утвержден состав комиссии по соблюдению требований к служебному поведению муниципальных служащих Контрольно-счетной палаты муниципального образования </w:t>
      </w:r>
      <w:proofErr w:type="spellStart"/>
      <w:r w:rsidRPr="001A6C95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bCs/>
          <w:sz w:val="28"/>
          <w:szCs w:val="28"/>
        </w:rPr>
        <w:t xml:space="preserve"> городской округ Оренбургской области и урегулированию конфликта интересов</w:t>
      </w:r>
      <w:proofErr w:type="gramEnd"/>
      <w:r w:rsidRPr="001A6C95">
        <w:rPr>
          <w:rFonts w:ascii="Times New Roman" w:hAnsi="Times New Roman" w:cs="Times New Roman"/>
          <w:bCs/>
          <w:sz w:val="28"/>
          <w:szCs w:val="28"/>
        </w:rPr>
        <w:t xml:space="preserve"> (распоряжение от 25.10.2022 №16-р).</w:t>
      </w:r>
    </w:p>
    <w:p w:rsidR="00166604" w:rsidRPr="001A6C95" w:rsidRDefault="00166604" w:rsidP="00A63F6A">
      <w:pPr>
        <w:widowControl w:val="0"/>
        <w:spacing w:after="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6604" w:rsidRPr="001A6C95" w:rsidRDefault="00166604" w:rsidP="00A63F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 xml:space="preserve">6. Направления деятельности </w:t>
      </w:r>
    </w:p>
    <w:p w:rsidR="00166604" w:rsidRPr="001A6C95" w:rsidRDefault="00166604" w:rsidP="00A63F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b/>
          <w:sz w:val="28"/>
          <w:szCs w:val="28"/>
        </w:rPr>
        <w:t>Контрольно-счетной палаты в 2023 году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 xml:space="preserve">Основные направления деятельности Контрольно-счетной  палаты в 2023 году сформированы в соответствии с задачами и функциями, возложенными на Контрольно-счетную палату Бюджетным кодексом Российской Федерации, </w:t>
      </w:r>
      <w:r w:rsidRPr="001A6C95">
        <w:rPr>
          <w:rFonts w:ascii="Times New Roman" w:eastAsia="Calibri" w:hAnsi="Times New Roman" w:cs="Times New Roman"/>
          <w:sz w:val="28"/>
          <w:szCs w:val="28"/>
        </w:rPr>
        <w:t>Федеральным закон №6-ФЗ</w:t>
      </w:r>
      <w:r w:rsidRPr="001A6C95">
        <w:rPr>
          <w:rFonts w:ascii="Times New Roman" w:hAnsi="Times New Roman" w:cs="Times New Roman"/>
          <w:sz w:val="28"/>
          <w:szCs w:val="28"/>
        </w:rPr>
        <w:t xml:space="preserve"> и Положением о Контрольно-счетной палате.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 xml:space="preserve">В рамках реализации своих полномочий первоочередными задачами Контрольно-счетная палата считает обеспечение и дальнейшее развитие контрольной и экспертно-аналитической деятельности. 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 xml:space="preserve">Во исполнение задач, законодательно закрепленных за контрольно-счетным органом, Контрольно-счетной палатой запланировано провести 5 контрольных мероприятий, из которых 4 контрольных мероприятия включены на основании решения Совета депутатов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от 14.12.2022 №242 «О направлении поручений Совета депутатов Контрольно-счетной палате для включения их в план работы на 2023 год».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ab/>
        <w:t xml:space="preserve">На основании предложения Счетной палаты Оренбургской области по проведению совместного контрольного мероприятия в план работы на 2023 год включена проверка использования межбюджетных трансфертов, выделенных бюджету муниципального образования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городской округ в 2022 году на </w:t>
      </w:r>
      <w:proofErr w:type="spellStart"/>
      <w:r w:rsidRPr="001A6C95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A6C95">
        <w:rPr>
          <w:rFonts w:ascii="Times New Roman" w:hAnsi="Times New Roman" w:cs="Times New Roman"/>
          <w:sz w:val="28"/>
          <w:szCs w:val="28"/>
        </w:rPr>
        <w:t xml:space="preserve"> капитальных вложений в </w:t>
      </w:r>
      <w:r w:rsidRPr="001A6C95">
        <w:rPr>
          <w:rFonts w:ascii="Times New Roman" w:hAnsi="Times New Roman" w:cs="Times New Roman"/>
          <w:sz w:val="28"/>
          <w:szCs w:val="28"/>
        </w:rPr>
        <w:lastRenderedPageBreak/>
        <w:t xml:space="preserve">объекты муниципальной собственности. </w:t>
      </w:r>
    </w:p>
    <w:p w:rsidR="00166604" w:rsidRPr="001A6C95" w:rsidRDefault="00166604" w:rsidP="00A63F6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bCs/>
          <w:sz w:val="28"/>
          <w:szCs w:val="28"/>
        </w:rPr>
        <w:tab/>
        <w:t xml:space="preserve">В целях  методологического обеспечения деятельности Контрольно-счетной палаты в 2023 году будет продолжена работа по разработке новых стандартов внешнего муниципального финансового контроля и организации деятельности, а также актуализации утвержденных. </w:t>
      </w: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6604" w:rsidRPr="001A6C95" w:rsidRDefault="00166604" w:rsidP="00A63F6A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604" w:rsidRPr="001A6C95" w:rsidRDefault="00166604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604" w:rsidRDefault="00166604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E63" w:rsidRDefault="008E0E63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E63" w:rsidRDefault="008E0E63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E63" w:rsidRDefault="008E0E63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E63" w:rsidRDefault="008E0E63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E63" w:rsidRDefault="008E0E63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E63" w:rsidRPr="001A6C95" w:rsidRDefault="008E0E63" w:rsidP="00A63F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604" w:rsidRPr="001A6C95" w:rsidRDefault="00166604" w:rsidP="00A63F6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3F6A" w:rsidRDefault="00A63F6A" w:rsidP="00A63F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3F6A" w:rsidRDefault="00A63F6A" w:rsidP="00A63F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3F6A" w:rsidRDefault="00A63F6A" w:rsidP="00A63F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3F6A" w:rsidRDefault="00A63F6A" w:rsidP="00A63F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3F6A" w:rsidRDefault="00A63F6A" w:rsidP="00A63F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3F6A" w:rsidRDefault="00A63F6A" w:rsidP="00A63F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3F6A" w:rsidRDefault="00A63F6A" w:rsidP="00A63F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3F6A" w:rsidRDefault="00A63F6A" w:rsidP="00A63F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3F6A" w:rsidRDefault="00A63F6A" w:rsidP="00A63F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3F6A" w:rsidRDefault="00A63F6A" w:rsidP="00A63F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3F6A" w:rsidRDefault="00A63F6A" w:rsidP="00A63F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3F6A" w:rsidRDefault="00A63F6A" w:rsidP="00A63F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6604" w:rsidRPr="001A6C95" w:rsidRDefault="00166604" w:rsidP="00A63F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166604" w:rsidRPr="001A6C95" w:rsidRDefault="00166604" w:rsidP="00A63F6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6C95"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 ДЕЯТЕЛЬНОСТИ</w:t>
      </w:r>
    </w:p>
    <w:p w:rsidR="00166604" w:rsidRPr="001A6C95" w:rsidRDefault="00166604" w:rsidP="00A63F6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6C95">
        <w:rPr>
          <w:rFonts w:ascii="Times New Roman" w:hAnsi="Times New Roman" w:cs="Times New Roman"/>
          <w:b/>
          <w:bCs/>
          <w:sz w:val="28"/>
          <w:szCs w:val="28"/>
        </w:rPr>
        <w:t>КОНТРОЛЬНО - СЧЕТНОЙ ПАЛАТЫ МУНИЦИПАЛЬНОГО ОБРАЗОВАНИЯ</w:t>
      </w:r>
    </w:p>
    <w:p w:rsidR="00166604" w:rsidRPr="001A6C95" w:rsidRDefault="00166604" w:rsidP="00A63F6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6C95">
        <w:rPr>
          <w:rFonts w:ascii="Times New Roman" w:hAnsi="Times New Roman" w:cs="Times New Roman"/>
          <w:b/>
          <w:bCs/>
          <w:sz w:val="28"/>
          <w:szCs w:val="28"/>
        </w:rPr>
        <w:t>СОЛЬ-ИЛЕЦКИЙ ГОРОДСКОЙ ОКРУГ ОРЕНБУРГСКОЙ ОБЛАСТИ В 2022 ГОДУ</w:t>
      </w:r>
    </w:p>
    <w:p w:rsidR="00166604" w:rsidRPr="001A6C95" w:rsidRDefault="00166604" w:rsidP="00A63F6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8080"/>
        <w:gridCol w:w="1134"/>
      </w:tblGrid>
      <w:tr w:rsidR="00166604" w:rsidRPr="001A6C95" w:rsidTr="00F4771C">
        <w:trPr>
          <w:trHeight w:val="505"/>
          <w:tblHeader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" w:name="RANGE!A6:C62"/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bookmarkEnd w:id="1"/>
          <w:p w:rsidR="00166604" w:rsidRPr="001A6C95" w:rsidRDefault="00166604" w:rsidP="00A63F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Показатели 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реализованных контрольных мероприятий, </w:t>
            </w:r>
          </w:p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контрольно-ревизионные мероприятия, из них: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поручения Совета депутатов муниципального образования </w:t>
            </w:r>
            <w:proofErr w:type="spellStart"/>
            <w:r w:rsidRPr="001A6C9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Соль-Илецкий</w:t>
            </w:r>
            <w:proofErr w:type="spellEnd"/>
            <w:r w:rsidRPr="001A6C9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городской округ Оренбургской области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iCs/>
                <w:sz w:val="28"/>
                <w:szCs w:val="28"/>
              </w:rPr>
              <w:t>1.2.</w:t>
            </w: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Внешняя проверка годового отчета об исполнении бюджета городского округа  за 2021 год в соответствии со статьей 264.4 Бюджетного кодекса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 xml:space="preserve">Охвачено контрольными мероприятиями объектов 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Экспертно-аналитические мероприятия, </w:t>
            </w:r>
          </w:p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 2.1.</w:t>
            </w: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заключения на проекты решений и нормативные правовые акты, из них: 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бюджет городского округа 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i/>
                <w:sz w:val="28"/>
                <w:szCs w:val="28"/>
              </w:rPr>
              <w:t>муниципальные программы (проекты)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i/>
                <w:sz w:val="28"/>
                <w:szCs w:val="28"/>
              </w:rPr>
              <w:t>прочие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2.2. </w:t>
            </w:r>
          </w:p>
        </w:tc>
        <w:tc>
          <w:tcPr>
            <w:tcW w:w="8080" w:type="dxa"/>
            <w:shd w:val="clear" w:color="auto" w:fill="auto"/>
          </w:tcPr>
          <w:p w:rsidR="00166604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аналитические материалы об исполнении бюджета городского округа (ежеквартально)</w:t>
            </w:r>
          </w:p>
          <w:p w:rsidR="00A63F6A" w:rsidRDefault="00A63F6A" w:rsidP="00A63F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6A" w:rsidRDefault="00A63F6A" w:rsidP="00A63F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6A" w:rsidRPr="001A6C95" w:rsidRDefault="00A63F6A" w:rsidP="00A63F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Организационно-методическая деятельность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отчета о работе Контрольно-счетной палаты </w:t>
            </w:r>
            <w:proofErr w:type="spellStart"/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Соль-Илецкого</w:t>
            </w:r>
            <w:proofErr w:type="spellEnd"/>
            <w:r w:rsidRPr="001A6C95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за 2021 год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формирование плана работы Контрольно-счетной палаты </w:t>
            </w:r>
            <w:proofErr w:type="spellStart"/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Соль-Илецкого</w:t>
            </w:r>
            <w:proofErr w:type="spellEnd"/>
            <w:r w:rsidRPr="001A6C95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(на 2023 год)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Выявлено нарушений законодательства и недостатков в финансово-бюджетной сфере (тыс. рублей)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20 158,3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Составлено административных протоколов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общая сумма штрафов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материалов направленных в прокуратуру </w:t>
            </w:r>
            <w:proofErr w:type="spellStart"/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Соль-Илецкого</w:t>
            </w:r>
            <w:proofErr w:type="spellEnd"/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отчетов, заключений, аналитических записок направленных  в Совет депутатов муниципального образования </w:t>
            </w:r>
            <w:proofErr w:type="spellStart"/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</w:t>
            </w:r>
            <w:proofErr w:type="spellEnd"/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166604" w:rsidRPr="001A6C95" w:rsidTr="00F4771C">
        <w:trPr>
          <w:trHeight w:val="19"/>
        </w:trPr>
        <w:tc>
          <w:tcPr>
            <w:tcW w:w="1276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080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заключенных соглашений о сотрудничестве и взаимодействии на 01.01.2023</w:t>
            </w:r>
          </w:p>
        </w:tc>
        <w:tc>
          <w:tcPr>
            <w:tcW w:w="1134" w:type="dxa"/>
            <w:shd w:val="clear" w:color="auto" w:fill="auto"/>
          </w:tcPr>
          <w:p w:rsidR="00166604" w:rsidRPr="001A6C95" w:rsidRDefault="00166604" w:rsidP="00A63F6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6C9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:rsidR="00166604" w:rsidRPr="001A6C95" w:rsidRDefault="00166604" w:rsidP="00A63F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B0D44" w:rsidRPr="001A6C95" w:rsidRDefault="00EB0D44" w:rsidP="00A63F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EB0D44" w:rsidRPr="001A6C95" w:rsidSect="008C37EC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EBD" w:rsidRDefault="00537EBD" w:rsidP="00837D93">
      <w:pPr>
        <w:spacing w:after="0" w:line="240" w:lineRule="auto"/>
      </w:pPr>
      <w:r>
        <w:separator/>
      </w:r>
    </w:p>
  </w:endnote>
  <w:endnote w:type="continuationSeparator" w:id="0">
    <w:p w:rsidR="00537EBD" w:rsidRDefault="00537EBD" w:rsidP="00837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EBD" w:rsidRDefault="00537EBD" w:rsidP="00837D93">
      <w:pPr>
        <w:spacing w:after="0" w:line="240" w:lineRule="auto"/>
      </w:pPr>
      <w:r>
        <w:separator/>
      </w:r>
    </w:p>
  </w:footnote>
  <w:footnote w:type="continuationSeparator" w:id="0">
    <w:p w:rsidR="00537EBD" w:rsidRDefault="00537EBD" w:rsidP="00837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7134"/>
      <w:docPartObj>
        <w:docPartGallery w:val="Page Numbers (Top of Page)"/>
        <w:docPartUnique/>
      </w:docPartObj>
    </w:sdtPr>
    <w:sdtContent>
      <w:p w:rsidR="00837D93" w:rsidRDefault="00420F11">
        <w:pPr>
          <w:pStyle w:val="a6"/>
          <w:jc w:val="center"/>
        </w:pPr>
        <w:r>
          <w:fldChar w:fldCharType="begin"/>
        </w:r>
        <w:r w:rsidR="00F12069">
          <w:instrText xml:space="preserve"> PAGE   \* MERGEFORMAT </w:instrText>
        </w:r>
        <w:r>
          <w:fldChar w:fldCharType="separate"/>
        </w:r>
        <w:r w:rsidR="00A06A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37D93" w:rsidRDefault="00837D9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0AC5"/>
    <w:rsid w:val="00057445"/>
    <w:rsid w:val="000B5E24"/>
    <w:rsid w:val="000C0DDB"/>
    <w:rsid w:val="000D78AA"/>
    <w:rsid w:val="00155CB1"/>
    <w:rsid w:val="00166604"/>
    <w:rsid w:val="00166C27"/>
    <w:rsid w:val="001926E0"/>
    <w:rsid w:val="001A69D7"/>
    <w:rsid w:val="001A6C95"/>
    <w:rsid w:val="001E03A7"/>
    <w:rsid w:val="001F323E"/>
    <w:rsid w:val="001F3743"/>
    <w:rsid w:val="00216A2D"/>
    <w:rsid w:val="00222DD9"/>
    <w:rsid w:val="00231842"/>
    <w:rsid w:val="002925F6"/>
    <w:rsid w:val="002E7081"/>
    <w:rsid w:val="002F4789"/>
    <w:rsid w:val="00300654"/>
    <w:rsid w:val="00304180"/>
    <w:rsid w:val="00393065"/>
    <w:rsid w:val="003F0452"/>
    <w:rsid w:val="00420F11"/>
    <w:rsid w:val="0044100C"/>
    <w:rsid w:val="00446199"/>
    <w:rsid w:val="00464464"/>
    <w:rsid w:val="00494A1A"/>
    <w:rsid w:val="004B7E41"/>
    <w:rsid w:val="004E1B27"/>
    <w:rsid w:val="004E74E2"/>
    <w:rsid w:val="0050714E"/>
    <w:rsid w:val="00537EBD"/>
    <w:rsid w:val="0056269B"/>
    <w:rsid w:val="00566FF7"/>
    <w:rsid w:val="0057395C"/>
    <w:rsid w:val="005F540B"/>
    <w:rsid w:val="005F62A2"/>
    <w:rsid w:val="00604986"/>
    <w:rsid w:val="006437B2"/>
    <w:rsid w:val="0064422B"/>
    <w:rsid w:val="00644545"/>
    <w:rsid w:val="00683BCA"/>
    <w:rsid w:val="006D36A0"/>
    <w:rsid w:val="006E631F"/>
    <w:rsid w:val="006E71BE"/>
    <w:rsid w:val="00700AC5"/>
    <w:rsid w:val="007C2D1B"/>
    <w:rsid w:val="007D4FB5"/>
    <w:rsid w:val="007E0AC3"/>
    <w:rsid w:val="008329F2"/>
    <w:rsid w:val="00837D93"/>
    <w:rsid w:val="0084260A"/>
    <w:rsid w:val="0085206B"/>
    <w:rsid w:val="00863DBB"/>
    <w:rsid w:val="008948B4"/>
    <w:rsid w:val="008C37EC"/>
    <w:rsid w:val="008C7C35"/>
    <w:rsid w:val="008E0E63"/>
    <w:rsid w:val="0090593C"/>
    <w:rsid w:val="0093583D"/>
    <w:rsid w:val="00972C90"/>
    <w:rsid w:val="009D55D7"/>
    <w:rsid w:val="009E0FD4"/>
    <w:rsid w:val="009F00CC"/>
    <w:rsid w:val="009F3C33"/>
    <w:rsid w:val="00A01362"/>
    <w:rsid w:val="00A06A0A"/>
    <w:rsid w:val="00A15F0E"/>
    <w:rsid w:val="00A23218"/>
    <w:rsid w:val="00A23FAB"/>
    <w:rsid w:val="00A264CA"/>
    <w:rsid w:val="00A53E23"/>
    <w:rsid w:val="00A60DCC"/>
    <w:rsid w:val="00A63F6A"/>
    <w:rsid w:val="00A86766"/>
    <w:rsid w:val="00A87DE7"/>
    <w:rsid w:val="00AD18E1"/>
    <w:rsid w:val="00B10822"/>
    <w:rsid w:val="00B14FB0"/>
    <w:rsid w:val="00B17066"/>
    <w:rsid w:val="00B70CD5"/>
    <w:rsid w:val="00C26D2D"/>
    <w:rsid w:val="00C50E2B"/>
    <w:rsid w:val="00C61947"/>
    <w:rsid w:val="00C630E2"/>
    <w:rsid w:val="00CB0343"/>
    <w:rsid w:val="00CB0D05"/>
    <w:rsid w:val="00CD20B3"/>
    <w:rsid w:val="00CE4628"/>
    <w:rsid w:val="00CF046D"/>
    <w:rsid w:val="00D03F56"/>
    <w:rsid w:val="00D94BD0"/>
    <w:rsid w:val="00DB79C9"/>
    <w:rsid w:val="00DC5EFF"/>
    <w:rsid w:val="00DD7697"/>
    <w:rsid w:val="00DE0D63"/>
    <w:rsid w:val="00E23B29"/>
    <w:rsid w:val="00E252EA"/>
    <w:rsid w:val="00E5491C"/>
    <w:rsid w:val="00E7186F"/>
    <w:rsid w:val="00E73FA0"/>
    <w:rsid w:val="00E95958"/>
    <w:rsid w:val="00EB0D44"/>
    <w:rsid w:val="00EC22BF"/>
    <w:rsid w:val="00EC3EDE"/>
    <w:rsid w:val="00EE2CD8"/>
    <w:rsid w:val="00EF3F16"/>
    <w:rsid w:val="00F12069"/>
    <w:rsid w:val="00F307F2"/>
    <w:rsid w:val="00F4182A"/>
    <w:rsid w:val="00F4771C"/>
    <w:rsid w:val="00F57C81"/>
    <w:rsid w:val="00F61FB6"/>
    <w:rsid w:val="00FA38B8"/>
    <w:rsid w:val="00FB0F88"/>
    <w:rsid w:val="00FC092C"/>
    <w:rsid w:val="00FD0F12"/>
    <w:rsid w:val="00FE53F3"/>
    <w:rsid w:val="00FF7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A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0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AC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3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7D9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3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37D93"/>
    <w:rPr>
      <w:rFonts w:eastAsiaTheme="minorEastAsia"/>
      <w:lang w:eastAsia="ru-RU"/>
    </w:rPr>
  </w:style>
  <w:style w:type="paragraph" w:styleId="aa">
    <w:name w:val="Title"/>
    <w:basedOn w:val="a"/>
    <w:link w:val="ab"/>
    <w:uiPriority w:val="10"/>
    <w:qFormat/>
    <w:rsid w:val="007E0AC3"/>
    <w:pPr>
      <w:widowControl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uiPriority w:val="10"/>
    <w:rsid w:val="007E0A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Normal (Web)"/>
    <w:basedOn w:val="a"/>
    <w:uiPriority w:val="99"/>
    <w:rsid w:val="007E0AC3"/>
    <w:pPr>
      <w:spacing w:after="75" w:line="240" w:lineRule="auto"/>
      <w:ind w:firstLine="567"/>
      <w:jc w:val="both"/>
    </w:pPr>
    <w:rPr>
      <w:rFonts w:ascii="Verdana" w:eastAsia="Times New Roman" w:hAnsi="Verdana" w:cs="Times New Roman"/>
      <w:color w:val="000000"/>
      <w:sz w:val="18"/>
      <w:szCs w:val="18"/>
    </w:rPr>
  </w:style>
  <w:style w:type="paragraph" w:customStyle="1" w:styleId="ConsPlusNonformat">
    <w:name w:val="ConsPlusNonformat"/>
    <w:rsid w:val="007E0A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Emphasis"/>
    <w:basedOn w:val="a0"/>
    <w:qFormat/>
    <w:rsid w:val="00A264CA"/>
    <w:rPr>
      <w:i/>
      <w:iCs/>
    </w:rPr>
  </w:style>
  <w:style w:type="character" w:customStyle="1" w:styleId="layout">
    <w:name w:val="layout"/>
    <w:basedOn w:val="a0"/>
    <w:rsid w:val="00A264CA"/>
  </w:style>
  <w:style w:type="paragraph" w:styleId="ae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 Знак Знак Знак"/>
    <w:basedOn w:val="a"/>
    <w:link w:val="af"/>
    <w:rsid w:val="0016660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e"/>
    <w:rsid w:val="00166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16660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66604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unhideWhenUsed/>
    <w:rsid w:val="001666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16660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166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5905</Words>
  <Characters>33663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54</cp:revision>
  <cp:lastPrinted>2023-04-06T05:17:00Z</cp:lastPrinted>
  <dcterms:created xsi:type="dcterms:W3CDTF">2020-03-25T12:12:00Z</dcterms:created>
  <dcterms:modified xsi:type="dcterms:W3CDTF">2023-04-06T05:18:00Z</dcterms:modified>
</cp:coreProperties>
</file>